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270E" w:rsidRDefault="0046491C" w:rsidP="0046491C">
      <w:pPr>
        <w:spacing w:after="0" w:line="360" w:lineRule="auto"/>
        <w:jc w:val="both"/>
        <w:rPr>
          <w:rFonts w:ascii="Palatino Linotype" w:hAnsi="Palatino Linotype" w:cs="Arial"/>
          <w:b/>
          <w:sz w:val="24"/>
          <w:szCs w:val="24"/>
        </w:rPr>
      </w:pPr>
      <w:r w:rsidRPr="00D33AF9">
        <w:rPr>
          <w:rFonts w:ascii="Palatino Linotype" w:hAnsi="Palatino Linotype" w:cs="Arial"/>
          <w:b/>
          <w:sz w:val="24"/>
          <w:szCs w:val="24"/>
        </w:rPr>
        <w:t>VOTO PARTICULAR DEL COMISIONADO JOSÉ GUADA</w:t>
      </w:r>
      <w:r w:rsidR="00D72985">
        <w:rPr>
          <w:rFonts w:ascii="Palatino Linotype" w:hAnsi="Palatino Linotype" w:cs="Arial"/>
          <w:b/>
          <w:sz w:val="24"/>
          <w:szCs w:val="24"/>
        </w:rPr>
        <w:t>LUPE LUNA HERNÁNDEZ DEL RECURSO</w:t>
      </w:r>
      <w:r w:rsidRPr="00D33AF9">
        <w:rPr>
          <w:rFonts w:ascii="Palatino Linotype" w:hAnsi="Palatino Linotype" w:cs="Arial"/>
          <w:b/>
          <w:sz w:val="24"/>
          <w:szCs w:val="24"/>
        </w:rPr>
        <w:t xml:space="preserve"> DE REVISIÓN </w:t>
      </w:r>
      <w:r w:rsidR="0085533E">
        <w:rPr>
          <w:rFonts w:ascii="Palatino Linotype" w:hAnsi="Palatino Linotype" w:cs="Arial"/>
          <w:b/>
          <w:sz w:val="24"/>
          <w:szCs w:val="24"/>
        </w:rPr>
        <w:t>0</w:t>
      </w:r>
      <w:r w:rsidR="00D12DE7">
        <w:rPr>
          <w:rFonts w:ascii="Palatino Linotype" w:hAnsi="Palatino Linotype" w:cs="Arial"/>
          <w:b/>
          <w:sz w:val="24"/>
          <w:szCs w:val="24"/>
        </w:rPr>
        <w:t>2</w:t>
      </w:r>
      <w:r w:rsidR="00AD5651">
        <w:rPr>
          <w:rFonts w:ascii="Palatino Linotype" w:hAnsi="Palatino Linotype" w:cs="Arial"/>
          <w:b/>
          <w:sz w:val="24"/>
          <w:szCs w:val="24"/>
        </w:rPr>
        <w:t>3</w:t>
      </w:r>
      <w:r w:rsidR="00D12DE7">
        <w:rPr>
          <w:rFonts w:ascii="Palatino Linotype" w:hAnsi="Palatino Linotype" w:cs="Arial"/>
          <w:b/>
          <w:sz w:val="24"/>
          <w:szCs w:val="24"/>
        </w:rPr>
        <w:t>64</w:t>
      </w:r>
      <w:r w:rsidR="009C41CC">
        <w:rPr>
          <w:rFonts w:ascii="Palatino Linotype" w:hAnsi="Palatino Linotype" w:cs="Arial"/>
          <w:b/>
          <w:sz w:val="24"/>
          <w:szCs w:val="24"/>
        </w:rPr>
        <w:t>/INFOEM/IP/RR/201</w:t>
      </w:r>
      <w:r w:rsidR="00D12DE7">
        <w:rPr>
          <w:rFonts w:ascii="Palatino Linotype" w:hAnsi="Palatino Linotype" w:cs="Arial"/>
          <w:b/>
          <w:sz w:val="24"/>
          <w:szCs w:val="24"/>
        </w:rPr>
        <w:t xml:space="preserve">8. </w:t>
      </w:r>
    </w:p>
    <w:p w:rsidR="00770B87" w:rsidRDefault="00770B87" w:rsidP="0046491C">
      <w:pPr>
        <w:spacing w:after="0" w:line="360" w:lineRule="auto"/>
        <w:jc w:val="both"/>
        <w:rPr>
          <w:rFonts w:ascii="Palatino Linotype" w:hAnsi="Palatino Linotype" w:cs="Arial"/>
          <w:b/>
          <w:sz w:val="24"/>
          <w:szCs w:val="24"/>
        </w:rPr>
      </w:pPr>
    </w:p>
    <w:p w:rsidR="0046491C" w:rsidRPr="00902248" w:rsidRDefault="0046491C" w:rsidP="0046491C">
      <w:pPr>
        <w:spacing w:after="0" w:line="360" w:lineRule="auto"/>
        <w:jc w:val="both"/>
        <w:rPr>
          <w:rFonts w:ascii="Palatino Linotype" w:hAnsi="Palatino Linotype" w:cs="Arial"/>
          <w:b/>
          <w:sz w:val="24"/>
          <w:szCs w:val="24"/>
        </w:rPr>
      </w:pPr>
      <w:r w:rsidRPr="00902248">
        <w:rPr>
          <w:rFonts w:ascii="Palatino Linotype" w:hAnsi="Palatino Linotype" w:cs="Arial"/>
          <w:b/>
          <w:sz w:val="24"/>
          <w:szCs w:val="24"/>
        </w:rPr>
        <w:t>Líneas argumentativas:</w:t>
      </w:r>
    </w:p>
    <w:p w:rsidR="00902248" w:rsidRDefault="00902248" w:rsidP="0046491C">
      <w:pPr>
        <w:spacing w:after="0" w:line="360"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La falta de impugnación respecto al resto de los requerimientos que no fueron manifestados en el recurso de revisión, no debe entenderse como actos consentidos.</w:t>
      </w:r>
    </w:p>
    <w:p w:rsidR="00902248" w:rsidRDefault="00902248"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 xml:space="preserve">La figura de actos consentidos no debe ser invocada en el derecho humano </w:t>
      </w:r>
      <w:proofErr w:type="gramStart"/>
      <w:r w:rsidRPr="00D33AF9">
        <w:rPr>
          <w:rFonts w:ascii="Palatino Linotype" w:hAnsi="Palatino Linotype" w:cs="Arial"/>
          <w:sz w:val="24"/>
          <w:szCs w:val="24"/>
        </w:rPr>
        <w:t>fundamental</w:t>
      </w:r>
      <w:proofErr w:type="gramEnd"/>
      <w:r w:rsidRPr="00D33AF9">
        <w:rPr>
          <w:rFonts w:ascii="Palatino Linotype" w:hAnsi="Palatino Linotype" w:cs="Arial"/>
          <w:sz w:val="24"/>
          <w:szCs w:val="24"/>
        </w:rPr>
        <w:t xml:space="preserve"> de acceder a la información pública gubernamental.</w:t>
      </w:r>
    </w:p>
    <w:p w:rsidR="00410C93" w:rsidRPr="00D33AF9" w:rsidRDefault="00410C93"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El Órgano Garante del derecho de acceso a la información pública no debe imponerles las cargas formales del proceso jurisdiccional a los particulares.</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 que este Órgano Garante realice en materia de suplencia de la queja no afecta la igualdad de las partes sino procura el cumplimiento de los deberes de protección del derecho humano.</w:t>
      </w:r>
    </w:p>
    <w:p w:rsidR="0046491C" w:rsidRPr="00D33AF9" w:rsidRDefault="0046491C" w:rsidP="00902248">
      <w:pPr>
        <w:spacing w:after="0" w:line="276" w:lineRule="auto"/>
        <w:jc w:val="both"/>
        <w:rPr>
          <w:rFonts w:ascii="Palatino Linotype" w:hAnsi="Palatino Linotype" w:cs="Arial"/>
          <w:sz w:val="24"/>
          <w:szCs w:val="24"/>
        </w:rPr>
      </w:pPr>
    </w:p>
    <w:p w:rsidR="0046491C" w:rsidRPr="00D33AF9"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Restringir el derecho de acceso a la información pública del particular al no ordenar la información solicitada por no impugnar la falta de entrega de los documentos solicitados, debilita la efectividad de la  garantía de este derecho humano al hacerla depender de un hecho desconocido.</w:t>
      </w:r>
    </w:p>
    <w:p w:rsidR="0046491C" w:rsidRPr="00D33AF9" w:rsidRDefault="0046491C" w:rsidP="00902248">
      <w:pPr>
        <w:spacing w:after="0" w:line="276" w:lineRule="auto"/>
        <w:jc w:val="both"/>
        <w:rPr>
          <w:rFonts w:ascii="Palatino Linotype" w:hAnsi="Palatino Linotype" w:cs="Arial"/>
          <w:sz w:val="24"/>
          <w:szCs w:val="24"/>
        </w:rPr>
      </w:pPr>
    </w:p>
    <w:p w:rsidR="0046491C" w:rsidRDefault="0046491C" w:rsidP="00902248">
      <w:pPr>
        <w:spacing w:after="0" w:line="276" w:lineRule="auto"/>
        <w:jc w:val="both"/>
        <w:rPr>
          <w:rFonts w:ascii="Palatino Linotype" w:hAnsi="Palatino Linotype" w:cs="Arial"/>
          <w:sz w:val="24"/>
          <w:szCs w:val="24"/>
        </w:rPr>
      </w:pPr>
      <w:r w:rsidRPr="00D33AF9">
        <w:rPr>
          <w:rFonts w:ascii="Palatino Linotype" w:hAnsi="Palatino Linotype" w:cs="Arial"/>
          <w:sz w:val="24"/>
          <w:szCs w:val="24"/>
        </w:rPr>
        <w:t>Los órganos del Estado, tienen el deber que tienen dentro del margen de sus atribuciones, de prevenir violaciones a los derechos fundamentales.</w:t>
      </w:r>
    </w:p>
    <w:p w:rsidR="00FC3471" w:rsidRDefault="00FC3471" w:rsidP="00FC3471">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Los pronunciamientos simples que realicen los Sujetos Obligados, deben estar debidamente motivados, debiendo explicar de manera clara y precisa las causas por </w:t>
      </w:r>
      <w:r w:rsidRPr="00427B79">
        <w:rPr>
          <w:rFonts w:ascii="Palatino Linotype" w:eastAsia="Calibri" w:hAnsi="Palatino Linotype" w:cs="Arial"/>
          <w:sz w:val="24"/>
          <w:szCs w:val="24"/>
        </w:rPr>
        <w:lastRenderedPageBreak/>
        <w:t>las que no se cuenta con la información requerida, a efecto de brindar certeza jurídica de la omisión a la entrega de la información por no poseer, generar o administrar lo solicitado.</w:t>
      </w:r>
    </w:p>
    <w:p w:rsidR="0046491C" w:rsidRPr="00D33AF9" w:rsidRDefault="0046491C" w:rsidP="0046491C">
      <w:pPr>
        <w:spacing w:after="0" w:line="360" w:lineRule="auto"/>
        <w:jc w:val="both"/>
        <w:rPr>
          <w:rFonts w:ascii="Palatino Linotype" w:hAnsi="Palatino Linotype" w:cs="Arial"/>
          <w:sz w:val="24"/>
          <w:szCs w:val="24"/>
        </w:rPr>
      </w:pPr>
    </w:p>
    <w:p w:rsidR="00007504" w:rsidRPr="003605A5" w:rsidRDefault="0046491C" w:rsidP="0046491C">
      <w:pPr>
        <w:pStyle w:val="TtulodeTDC"/>
        <w:rPr>
          <w:rFonts w:cs="Arial"/>
          <w:b w:val="0"/>
          <w:szCs w:val="24"/>
        </w:rPr>
      </w:pPr>
      <w:r w:rsidRPr="003605A5">
        <w:rPr>
          <w:rFonts w:cs="Arial"/>
          <w:b w:val="0"/>
          <w:szCs w:val="24"/>
        </w:rPr>
        <w:t>Índice</w:t>
      </w:r>
    </w:p>
    <w:sdt>
      <w:sdtPr>
        <w:rPr>
          <w:lang w:val="es-ES"/>
        </w:rPr>
        <w:id w:val="-1628690016"/>
        <w:docPartObj>
          <w:docPartGallery w:val="Table of Contents"/>
          <w:docPartUnique/>
        </w:docPartObj>
      </w:sdtPr>
      <w:sdtEndPr>
        <w:rPr>
          <w:rFonts w:ascii="Palatino Linotype" w:hAnsi="Palatino Linotype"/>
          <w:b/>
          <w:bCs/>
          <w:sz w:val="24"/>
          <w:szCs w:val="24"/>
        </w:rPr>
      </w:sdtEndPr>
      <w:sdtContent>
        <w:p w:rsidR="0046491C" w:rsidRPr="00D33AF9" w:rsidRDefault="0046491C" w:rsidP="00007504">
          <w:pPr>
            <w:spacing w:after="0" w:line="360" w:lineRule="auto"/>
            <w:jc w:val="both"/>
          </w:pPr>
        </w:p>
        <w:p w:rsidR="00AB4BB9" w:rsidRDefault="0046491C">
          <w:pPr>
            <w:pStyle w:val="TDC1"/>
            <w:rPr>
              <w:rFonts w:eastAsiaTheme="minorEastAsia"/>
              <w:noProof/>
              <w:lang w:eastAsia="es-MX"/>
            </w:rPr>
          </w:pPr>
          <w:r w:rsidRPr="00511A5B">
            <w:rPr>
              <w:rFonts w:ascii="Palatino Linotype" w:hAnsi="Palatino Linotype"/>
              <w:sz w:val="24"/>
              <w:szCs w:val="24"/>
            </w:rPr>
            <w:fldChar w:fldCharType="begin"/>
          </w:r>
          <w:r w:rsidRPr="00511A5B">
            <w:rPr>
              <w:rFonts w:ascii="Palatino Linotype" w:hAnsi="Palatino Linotype"/>
              <w:sz w:val="24"/>
              <w:szCs w:val="24"/>
            </w:rPr>
            <w:instrText xml:space="preserve"> TOC \o "1-3" \h \z \u </w:instrText>
          </w:r>
          <w:r w:rsidRPr="00511A5B">
            <w:rPr>
              <w:rFonts w:ascii="Palatino Linotype" w:hAnsi="Palatino Linotype"/>
              <w:sz w:val="24"/>
              <w:szCs w:val="24"/>
            </w:rPr>
            <w:fldChar w:fldCharType="separate"/>
          </w:r>
          <w:hyperlink w:anchor="_Toc523142191" w:history="1">
            <w:r w:rsidR="00AB4BB9" w:rsidRPr="00B43844">
              <w:rPr>
                <w:rStyle w:val="Hipervnculo"/>
                <w:noProof/>
              </w:rPr>
              <w:t>I.</w:t>
            </w:r>
            <w:r w:rsidR="00AB4BB9">
              <w:rPr>
                <w:rFonts w:eastAsiaTheme="minorEastAsia"/>
                <w:noProof/>
                <w:lang w:eastAsia="es-MX"/>
              </w:rPr>
              <w:tab/>
            </w:r>
            <w:r w:rsidR="00AB4BB9" w:rsidRPr="00B43844">
              <w:rPr>
                <w:rStyle w:val="Hipervnculo"/>
                <w:noProof/>
              </w:rPr>
              <w:t>Consideraciones Generales.</w:t>
            </w:r>
            <w:r w:rsidR="00AB4BB9">
              <w:rPr>
                <w:noProof/>
                <w:webHidden/>
              </w:rPr>
              <w:tab/>
            </w:r>
            <w:r w:rsidR="00AB4BB9">
              <w:rPr>
                <w:noProof/>
                <w:webHidden/>
              </w:rPr>
              <w:fldChar w:fldCharType="begin"/>
            </w:r>
            <w:r w:rsidR="00AB4BB9">
              <w:rPr>
                <w:noProof/>
                <w:webHidden/>
              </w:rPr>
              <w:instrText xml:space="preserve"> PAGEREF _Toc523142191 \h </w:instrText>
            </w:r>
            <w:r w:rsidR="00AB4BB9">
              <w:rPr>
                <w:noProof/>
                <w:webHidden/>
              </w:rPr>
            </w:r>
            <w:r w:rsidR="00AB4BB9">
              <w:rPr>
                <w:noProof/>
                <w:webHidden/>
              </w:rPr>
              <w:fldChar w:fldCharType="separate"/>
            </w:r>
            <w:r w:rsidR="00AD5FF3">
              <w:rPr>
                <w:noProof/>
                <w:webHidden/>
              </w:rPr>
              <w:t>2</w:t>
            </w:r>
            <w:r w:rsidR="00AB4BB9">
              <w:rPr>
                <w:noProof/>
                <w:webHidden/>
              </w:rPr>
              <w:fldChar w:fldCharType="end"/>
            </w:r>
          </w:hyperlink>
        </w:p>
        <w:p w:rsidR="00AB4BB9" w:rsidRDefault="003B6CB0">
          <w:pPr>
            <w:pStyle w:val="TDC1"/>
            <w:rPr>
              <w:rFonts w:eastAsiaTheme="minorEastAsia"/>
              <w:noProof/>
              <w:lang w:eastAsia="es-MX"/>
            </w:rPr>
          </w:pPr>
          <w:hyperlink w:anchor="_Toc523142192" w:history="1">
            <w:r w:rsidR="00AB4BB9" w:rsidRPr="00B43844">
              <w:rPr>
                <w:rStyle w:val="Hipervnculo"/>
                <w:noProof/>
              </w:rPr>
              <w:t>II.</w:t>
            </w:r>
            <w:r w:rsidR="00AB4BB9">
              <w:rPr>
                <w:rFonts w:eastAsiaTheme="minorEastAsia"/>
                <w:noProof/>
                <w:lang w:eastAsia="es-MX"/>
              </w:rPr>
              <w:tab/>
            </w:r>
            <w:r w:rsidR="00AB4BB9" w:rsidRPr="00B43844">
              <w:rPr>
                <w:rStyle w:val="Hipervnculo"/>
                <w:noProof/>
              </w:rPr>
              <w:t>De los requerimientos planteados en el recurso de revisión.</w:t>
            </w:r>
            <w:r w:rsidR="00AB4BB9">
              <w:rPr>
                <w:noProof/>
                <w:webHidden/>
              </w:rPr>
              <w:tab/>
            </w:r>
            <w:r w:rsidR="00AB4BB9">
              <w:rPr>
                <w:noProof/>
                <w:webHidden/>
              </w:rPr>
              <w:fldChar w:fldCharType="begin"/>
            </w:r>
            <w:r w:rsidR="00AB4BB9">
              <w:rPr>
                <w:noProof/>
                <w:webHidden/>
              </w:rPr>
              <w:instrText xml:space="preserve"> PAGEREF _Toc523142192 \h </w:instrText>
            </w:r>
            <w:r w:rsidR="00AB4BB9">
              <w:rPr>
                <w:noProof/>
                <w:webHidden/>
              </w:rPr>
            </w:r>
            <w:r w:rsidR="00AB4BB9">
              <w:rPr>
                <w:noProof/>
                <w:webHidden/>
              </w:rPr>
              <w:fldChar w:fldCharType="separate"/>
            </w:r>
            <w:r w:rsidR="00AD5FF3">
              <w:rPr>
                <w:noProof/>
                <w:webHidden/>
              </w:rPr>
              <w:t>4</w:t>
            </w:r>
            <w:r w:rsidR="00AB4BB9">
              <w:rPr>
                <w:noProof/>
                <w:webHidden/>
              </w:rPr>
              <w:fldChar w:fldCharType="end"/>
            </w:r>
          </w:hyperlink>
        </w:p>
        <w:p w:rsidR="00AB4BB9" w:rsidRDefault="003B6CB0">
          <w:pPr>
            <w:pStyle w:val="TDC1"/>
            <w:rPr>
              <w:rFonts w:eastAsiaTheme="minorEastAsia"/>
              <w:noProof/>
              <w:lang w:eastAsia="es-MX"/>
            </w:rPr>
          </w:pPr>
          <w:hyperlink w:anchor="_Toc523142193" w:history="1">
            <w:r w:rsidR="00AB4BB9" w:rsidRPr="00B43844">
              <w:rPr>
                <w:rStyle w:val="Hipervnculo"/>
                <w:noProof/>
              </w:rPr>
              <w:t>III.</w:t>
            </w:r>
            <w:r w:rsidR="00AB4BB9">
              <w:rPr>
                <w:rFonts w:eastAsiaTheme="minorEastAsia"/>
                <w:noProof/>
                <w:lang w:eastAsia="es-MX"/>
              </w:rPr>
              <w:tab/>
            </w:r>
            <w:r w:rsidR="00AB4BB9" w:rsidRPr="00B43844">
              <w:rPr>
                <w:rStyle w:val="Hipervnculo"/>
                <w:noProof/>
              </w:rPr>
              <w:t>Los actos consentidos no deben invocarse en el derecho fundamental de acceder a la información pública gubernamental.</w:t>
            </w:r>
            <w:r w:rsidR="00AB4BB9">
              <w:rPr>
                <w:noProof/>
                <w:webHidden/>
              </w:rPr>
              <w:tab/>
            </w:r>
            <w:r w:rsidR="00AB4BB9">
              <w:rPr>
                <w:noProof/>
                <w:webHidden/>
              </w:rPr>
              <w:fldChar w:fldCharType="begin"/>
            </w:r>
            <w:r w:rsidR="00AB4BB9">
              <w:rPr>
                <w:noProof/>
                <w:webHidden/>
              </w:rPr>
              <w:instrText xml:space="preserve"> PAGEREF _Toc523142193 \h </w:instrText>
            </w:r>
            <w:r w:rsidR="00AB4BB9">
              <w:rPr>
                <w:noProof/>
                <w:webHidden/>
              </w:rPr>
            </w:r>
            <w:r w:rsidR="00AB4BB9">
              <w:rPr>
                <w:noProof/>
                <w:webHidden/>
              </w:rPr>
              <w:fldChar w:fldCharType="separate"/>
            </w:r>
            <w:r w:rsidR="00AD5FF3">
              <w:rPr>
                <w:noProof/>
                <w:webHidden/>
              </w:rPr>
              <w:t>7</w:t>
            </w:r>
            <w:r w:rsidR="00AB4BB9">
              <w:rPr>
                <w:noProof/>
                <w:webHidden/>
              </w:rPr>
              <w:fldChar w:fldCharType="end"/>
            </w:r>
          </w:hyperlink>
        </w:p>
        <w:p w:rsidR="00AB4BB9" w:rsidRDefault="003B6CB0">
          <w:pPr>
            <w:pStyle w:val="TDC1"/>
            <w:rPr>
              <w:rFonts w:eastAsiaTheme="minorEastAsia"/>
              <w:noProof/>
              <w:lang w:eastAsia="es-MX"/>
            </w:rPr>
          </w:pPr>
          <w:hyperlink w:anchor="_Toc523142194" w:history="1">
            <w:r w:rsidR="00AB4BB9" w:rsidRPr="00B43844">
              <w:rPr>
                <w:rStyle w:val="Hipervnculo"/>
                <w:noProof/>
              </w:rPr>
              <w:t>IV. Del Derecho de Acceso a la información pública y el deber de motivar.</w:t>
            </w:r>
            <w:r w:rsidR="00AB4BB9">
              <w:rPr>
                <w:noProof/>
                <w:webHidden/>
              </w:rPr>
              <w:tab/>
            </w:r>
            <w:r w:rsidR="00AB4BB9">
              <w:rPr>
                <w:noProof/>
                <w:webHidden/>
              </w:rPr>
              <w:fldChar w:fldCharType="begin"/>
            </w:r>
            <w:r w:rsidR="00AB4BB9">
              <w:rPr>
                <w:noProof/>
                <w:webHidden/>
              </w:rPr>
              <w:instrText xml:space="preserve"> PAGEREF _Toc523142194 \h </w:instrText>
            </w:r>
            <w:r w:rsidR="00AB4BB9">
              <w:rPr>
                <w:noProof/>
                <w:webHidden/>
              </w:rPr>
            </w:r>
            <w:r w:rsidR="00AB4BB9">
              <w:rPr>
                <w:noProof/>
                <w:webHidden/>
              </w:rPr>
              <w:fldChar w:fldCharType="separate"/>
            </w:r>
            <w:r w:rsidR="00AD5FF3">
              <w:rPr>
                <w:noProof/>
                <w:webHidden/>
              </w:rPr>
              <w:t>16</w:t>
            </w:r>
            <w:r w:rsidR="00AB4BB9">
              <w:rPr>
                <w:noProof/>
                <w:webHidden/>
              </w:rPr>
              <w:fldChar w:fldCharType="end"/>
            </w:r>
          </w:hyperlink>
        </w:p>
        <w:p w:rsidR="00AB4BB9" w:rsidRDefault="003B6CB0">
          <w:pPr>
            <w:pStyle w:val="TDC1"/>
            <w:rPr>
              <w:rFonts w:eastAsiaTheme="minorEastAsia"/>
              <w:noProof/>
              <w:lang w:eastAsia="es-MX"/>
            </w:rPr>
          </w:pPr>
          <w:hyperlink w:anchor="_Toc523142195" w:history="1">
            <w:r w:rsidR="00AB4BB9" w:rsidRPr="00B43844">
              <w:rPr>
                <w:rStyle w:val="Hipervnculo"/>
                <w:rFonts w:eastAsia="Calibri"/>
                <w:noProof/>
              </w:rPr>
              <w:t>V. Del Pronunciamiento simple</w:t>
            </w:r>
            <w:r w:rsidR="00AB4BB9">
              <w:rPr>
                <w:noProof/>
                <w:webHidden/>
              </w:rPr>
              <w:tab/>
            </w:r>
            <w:r w:rsidR="00AB4BB9">
              <w:rPr>
                <w:noProof/>
                <w:webHidden/>
              </w:rPr>
              <w:fldChar w:fldCharType="begin"/>
            </w:r>
            <w:r w:rsidR="00AB4BB9">
              <w:rPr>
                <w:noProof/>
                <w:webHidden/>
              </w:rPr>
              <w:instrText xml:space="preserve"> PAGEREF _Toc523142195 \h </w:instrText>
            </w:r>
            <w:r w:rsidR="00AB4BB9">
              <w:rPr>
                <w:noProof/>
                <w:webHidden/>
              </w:rPr>
            </w:r>
            <w:r w:rsidR="00AB4BB9">
              <w:rPr>
                <w:noProof/>
                <w:webHidden/>
              </w:rPr>
              <w:fldChar w:fldCharType="separate"/>
            </w:r>
            <w:r w:rsidR="00AD5FF3">
              <w:rPr>
                <w:noProof/>
                <w:webHidden/>
              </w:rPr>
              <w:t>21</w:t>
            </w:r>
            <w:r w:rsidR="00AB4BB9">
              <w:rPr>
                <w:noProof/>
                <w:webHidden/>
              </w:rPr>
              <w:fldChar w:fldCharType="end"/>
            </w:r>
          </w:hyperlink>
        </w:p>
        <w:p w:rsidR="00AB4BB9" w:rsidRDefault="003B6CB0">
          <w:pPr>
            <w:pStyle w:val="TDC1"/>
            <w:rPr>
              <w:rFonts w:eastAsiaTheme="minorEastAsia"/>
              <w:noProof/>
              <w:lang w:eastAsia="es-MX"/>
            </w:rPr>
          </w:pPr>
          <w:hyperlink w:anchor="_Toc523142196" w:history="1">
            <w:r w:rsidR="00AB4BB9" w:rsidRPr="00B43844">
              <w:rPr>
                <w:rStyle w:val="Hipervnculo"/>
                <w:rFonts w:eastAsia="Calibri"/>
                <w:noProof/>
              </w:rPr>
              <w:t>VI. Conclusión.</w:t>
            </w:r>
            <w:r w:rsidR="00AB4BB9">
              <w:rPr>
                <w:noProof/>
                <w:webHidden/>
              </w:rPr>
              <w:tab/>
            </w:r>
            <w:r w:rsidR="00AB4BB9">
              <w:rPr>
                <w:noProof/>
                <w:webHidden/>
              </w:rPr>
              <w:fldChar w:fldCharType="begin"/>
            </w:r>
            <w:r w:rsidR="00AB4BB9">
              <w:rPr>
                <w:noProof/>
                <w:webHidden/>
              </w:rPr>
              <w:instrText xml:space="preserve"> PAGEREF _Toc523142196 \h </w:instrText>
            </w:r>
            <w:r w:rsidR="00AB4BB9">
              <w:rPr>
                <w:noProof/>
                <w:webHidden/>
              </w:rPr>
            </w:r>
            <w:r w:rsidR="00AB4BB9">
              <w:rPr>
                <w:noProof/>
                <w:webHidden/>
              </w:rPr>
              <w:fldChar w:fldCharType="separate"/>
            </w:r>
            <w:r w:rsidR="00AD5FF3">
              <w:rPr>
                <w:noProof/>
                <w:webHidden/>
              </w:rPr>
              <w:t>28</w:t>
            </w:r>
            <w:r w:rsidR="00AB4BB9">
              <w:rPr>
                <w:noProof/>
                <w:webHidden/>
              </w:rPr>
              <w:fldChar w:fldCharType="end"/>
            </w:r>
          </w:hyperlink>
        </w:p>
        <w:p w:rsidR="0046491C" w:rsidRPr="00511A5B" w:rsidRDefault="0046491C" w:rsidP="0046491C">
          <w:pPr>
            <w:rPr>
              <w:rFonts w:ascii="Palatino Linotype" w:hAnsi="Palatino Linotype"/>
              <w:sz w:val="24"/>
              <w:szCs w:val="24"/>
            </w:rPr>
          </w:pPr>
          <w:r w:rsidRPr="00511A5B">
            <w:rPr>
              <w:rFonts w:ascii="Palatino Linotype" w:hAnsi="Palatino Linotype"/>
              <w:b/>
              <w:bCs/>
              <w:sz w:val="24"/>
              <w:szCs w:val="24"/>
              <w:lang w:val="es-ES"/>
            </w:rPr>
            <w:fldChar w:fldCharType="end"/>
          </w:r>
        </w:p>
      </w:sdtContent>
    </w:sdt>
    <w:p w:rsidR="0046491C" w:rsidRPr="00D12DE7" w:rsidRDefault="0046491C" w:rsidP="0046491C">
      <w:pPr>
        <w:pStyle w:val="Ttulo1"/>
        <w:numPr>
          <w:ilvl w:val="0"/>
          <w:numId w:val="12"/>
        </w:numPr>
        <w:rPr>
          <w:szCs w:val="24"/>
        </w:rPr>
      </w:pPr>
      <w:bookmarkStart w:id="0" w:name="_Toc523142191"/>
      <w:r w:rsidRPr="00D12DE7">
        <w:rPr>
          <w:szCs w:val="24"/>
        </w:rPr>
        <w:t>Consideraciones Generales.</w:t>
      </w:r>
      <w:bookmarkEnd w:id="0"/>
    </w:p>
    <w:p w:rsidR="0046491C" w:rsidRPr="00D12DE7" w:rsidRDefault="0046491C" w:rsidP="0046491C">
      <w:pPr>
        <w:pStyle w:val="Prrafodelista"/>
        <w:spacing w:after="0" w:line="360" w:lineRule="auto"/>
        <w:ind w:left="1080"/>
        <w:jc w:val="both"/>
        <w:rPr>
          <w:rFonts w:ascii="Palatino Linotype" w:hAnsi="Palatino Linotype" w:cs="Arial"/>
          <w:b/>
          <w:sz w:val="24"/>
          <w:szCs w:val="24"/>
        </w:rPr>
      </w:pPr>
    </w:p>
    <w:p w:rsidR="0082270E" w:rsidRPr="00770B87" w:rsidRDefault="0046491C" w:rsidP="0082270E">
      <w:pPr>
        <w:pStyle w:val="Prrafodelista"/>
        <w:numPr>
          <w:ilvl w:val="0"/>
          <w:numId w:val="1"/>
        </w:numPr>
        <w:spacing w:after="0" w:line="360" w:lineRule="auto"/>
        <w:ind w:left="426"/>
        <w:jc w:val="both"/>
        <w:rPr>
          <w:rFonts w:ascii="Palatino Linotype" w:hAnsi="Palatino Linotype" w:cs="Arial"/>
          <w:sz w:val="24"/>
          <w:szCs w:val="24"/>
        </w:rPr>
      </w:pPr>
      <w:r w:rsidRPr="00770B87">
        <w:rPr>
          <w:rFonts w:ascii="Palatino Linotype" w:eastAsia="Times New Roman" w:hAnsi="Palatino Linotype" w:cs="Arial"/>
          <w:sz w:val="24"/>
          <w:szCs w:val="24"/>
          <w:lang w:val="es-ES_tradnl"/>
        </w:rPr>
        <w:t xml:space="preserve">He concurrido con mi </w:t>
      </w:r>
      <w:r w:rsidR="00D33AF9" w:rsidRPr="00770B87">
        <w:rPr>
          <w:rFonts w:ascii="Palatino Linotype" w:eastAsia="Times New Roman" w:hAnsi="Palatino Linotype" w:cs="Arial"/>
          <w:sz w:val="24"/>
          <w:szCs w:val="24"/>
          <w:lang w:val="es-ES_tradnl"/>
        </w:rPr>
        <w:t>voto</w:t>
      </w:r>
      <w:r w:rsidRPr="00770B87">
        <w:rPr>
          <w:rFonts w:ascii="Palatino Linotype" w:eastAsia="Times New Roman" w:hAnsi="Palatino Linotype" w:cs="Arial"/>
          <w:sz w:val="24"/>
          <w:szCs w:val="24"/>
          <w:lang w:val="es-ES_tradnl"/>
        </w:rPr>
        <w:t xml:space="preserve"> particular de la presente resolución emitida </w:t>
      </w:r>
      <w:r w:rsidRPr="00770B87">
        <w:rPr>
          <w:rFonts w:ascii="Palatino Linotype" w:hAnsi="Palatino Linotype" w:cs="Arial"/>
          <w:sz w:val="24"/>
          <w:szCs w:val="24"/>
        </w:rPr>
        <w:t>por el Pleno del Instituto de Transparencia, Acceso a la Información Pública y Protección de Datos Personales del Estado de Méxi</w:t>
      </w:r>
      <w:r w:rsidR="00410C93" w:rsidRPr="00770B87">
        <w:rPr>
          <w:rFonts w:ascii="Palatino Linotype" w:hAnsi="Palatino Linotype" w:cs="Arial"/>
          <w:sz w:val="24"/>
          <w:szCs w:val="24"/>
        </w:rPr>
        <w:t xml:space="preserve">co y Municipios, en su </w:t>
      </w:r>
      <w:r w:rsidR="00117841">
        <w:rPr>
          <w:rFonts w:ascii="Palatino Linotype" w:hAnsi="Palatino Linotype" w:cs="Arial"/>
          <w:sz w:val="24"/>
          <w:szCs w:val="24"/>
        </w:rPr>
        <w:t>trigésima</w:t>
      </w:r>
      <w:r w:rsidRPr="00770B87">
        <w:rPr>
          <w:rFonts w:ascii="Palatino Linotype" w:hAnsi="Palatino Linotype" w:cs="Arial"/>
          <w:sz w:val="24"/>
          <w:szCs w:val="24"/>
        </w:rPr>
        <w:t xml:space="preserve"> sesión ordinaria de fecha </w:t>
      </w:r>
      <w:r w:rsidR="00117841">
        <w:rPr>
          <w:rFonts w:ascii="Palatino Linotype" w:hAnsi="Palatino Linotype" w:cs="Arial"/>
          <w:sz w:val="24"/>
          <w:szCs w:val="24"/>
        </w:rPr>
        <w:t>veintidós</w:t>
      </w:r>
      <w:r w:rsidR="00410C93" w:rsidRPr="00770B87">
        <w:rPr>
          <w:rFonts w:ascii="Palatino Linotype" w:hAnsi="Palatino Linotype" w:cs="Arial"/>
          <w:sz w:val="24"/>
          <w:szCs w:val="24"/>
        </w:rPr>
        <w:t xml:space="preserve"> (</w:t>
      </w:r>
      <w:r w:rsidR="00117841">
        <w:rPr>
          <w:rFonts w:ascii="Palatino Linotype" w:hAnsi="Palatino Linotype" w:cs="Arial"/>
          <w:sz w:val="24"/>
          <w:szCs w:val="24"/>
        </w:rPr>
        <w:t>22</w:t>
      </w:r>
      <w:r w:rsidRPr="00770B87">
        <w:rPr>
          <w:rFonts w:ascii="Palatino Linotype" w:hAnsi="Palatino Linotype" w:cs="Arial"/>
          <w:sz w:val="24"/>
          <w:szCs w:val="24"/>
        </w:rPr>
        <w:t xml:space="preserve">) de </w:t>
      </w:r>
      <w:r w:rsidR="00441939">
        <w:rPr>
          <w:rFonts w:ascii="Palatino Linotype" w:hAnsi="Palatino Linotype" w:cs="Arial"/>
          <w:sz w:val="24"/>
          <w:szCs w:val="24"/>
        </w:rPr>
        <w:t>agosto</w:t>
      </w:r>
      <w:r w:rsidR="00410C93" w:rsidRPr="00770B87">
        <w:rPr>
          <w:rFonts w:ascii="Palatino Linotype" w:hAnsi="Palatino Linotype" w:cs="Arial"/>
          <w:sz w:val="24"/>
          <w:szCs w:val="24"/>
        </w:rPr>
        <w:t xml:space="preserve"> de dos mil dieci</w:t>
      </w:r>
      <w:r w:rsidR="00770B87" w:rsidRPr="00770B87">
        <w:rPr>
          <w:rFonts w:ascii="Palatino Linotype" w:hAnsi="Palatino Linotype" w:cs="Arial"/>
          <w:sz w:val="24"/>
          <w:szCs w:val="24"/>
        </w:rPr>
        <w:t>ocho</w:t>
      </w:r>
      <w:r w:rsidR="0082270E" w:rsidRPr="00770B87">
        <w:rPr>
          <w:rFonts w:ascii="Palatino Linotype" w:hAnsi="Palatino Linotype" w:cs="Arial"/>
          <w:sz w:val="24"/>
          <w:szCs w:val="24"/>
        </w:rPr>
        <w:t xml:space="preserve">, en </w:t>
      </w:r>
      <w:r w:rsidR="00770B87" w:rsidRPr="00770B87">
        <w:rPr>
          <w:rFonts w:ascii="Palatino Linotype" w:hAnsi="Palatino Linotype" w:cs="Arial"/>
          <w:sz w:val="24"/>
          <w:szCs w:val="24"/>
        </w:rPr>
        <w:t xml:space="preserve">el </w:t>
      </w:r>
      <w:r w:rsidRPr="00770B87">
        <w:rPr>
          <w:rFonts w:ascii="Palatino Linotype" w:hAnsi="Palatino Linotype" w:cs="Arial"/>
          <w:sz w:val="24"/>
          <w:szCs w:val="24"/>
        </w:rPr>
        <w:t>recurso</w:t>
      </w:r>
      <w:r w:rsidR="0082270E" w:rsidRPr="00770B87">
        <w:rPr>
          <w:rFonts w:ascii="Palatino Linotype" w:hAnsi="Palatino Linotype" w:cs="Arial"/>
          <w:sz w:val="24"/>
          <w:szCs w:val="24"/>
        </w:rPr>
        <w:t xml:space="preserve"> de revisión promovido</w:t>
      </w:r>
      <w:r w:rsidRPr="00770B87">
        <w:rPr>
          <w:rFonts w:ascii="Palatino Linotype" w:hAnsi="Palatino Linotype" w:cs="Arial"/>
          <w:sz w:val="24"/>
          <w:szCs w:val="24"/>
        </w:rPr>
        <w:t xml:space="preserve"> por</w:t>
      </w:r>
      <w:r w:rsidRPr="00770B87">
        <w:rPr>
          <w:rFonts w:ascii="Palatino Linotype" w:hAnsi="Palatino Linotype" w:cs="Arial"/>
          <w:b/>
        </w:rPr>
        <w:t xml:space="preserve"> </w:t>
      </w:r>
      <w:r w:rsidR="00545599">
        <w:rPr>
          <w:rFonts w:ascii="Palatino Linotype" w:hAnsi="Palatino Linotype"/>
          <w:b/>
        </w:rPr>
        <w:t>**** **** ****</w:t>
      </w:r>
      <w:bookmarkStart w:id="1" w:name="_GoBack"/>
      <w:bookmarkEnd w:id="1"/>
      <w:r w:rsidRPr="00770B87">
        <w:rPr>
          <w:rFonts w:ascii="Palatino Linotype" w:hAnsi="Palatino Linotype" w:cs="Arial"/>
          <w:sz w:val="24"/>
          <w:szCs w:val="24"/>
        </w:rPr>
        <w:t>,</w:t>
      </w:r>
      <w:r w:rsidRPr="00770B87">
        <w:rPr>
          <w:rFonts w:ascii="Palatino Linotype" w:hAnsi="Palatino Linotype" w:cs="Arial"/>
          <w:b/>
          <w:sz w:val="24"/>
          <w:szCs w:val="24"/>
        </w:rPr>
        <w:t xml:space="preserve"> </w:t>
      </w:r>
      <w:r w:rsidRPr="00770B87">
        <w:rPr>
          <w:rFonts w:ascii="Palatino Linotype" w:hAnsi="Palatino Linotype" w:cs="Arial"/>
          <w:sz w:val="24"/>
          <w:szCs w:val="24"/>
        </w:rPr>
        <w:t>en contra de la respuesta de</w:t>
      </w:r>
      <w:r w:rsidR="00117841">
        <w:rPr>
          <w:rFonts w:ascii="Palatino Linotype" w:hAnsi="Palatino Linotype" w:cs="Arial"/>
          <w:sz w:val="24"/>
          <w:szCs w:val="24"/>
        </w:rPr>
        <w:t xml:space="preserve"> </w:t>
      </w:r>
      <w:r w:rsidR="0082270E" w:rsidRPr="00770B87">
        <w:rPr>
          <w:rFonts w:ascii="Palatino Linotype" w:hAnsi="Palatino Linotype" w:cs="Arial"/>
          <w:sz w:val="24"/>
          <w:szCs w:val="24"/>
        </w:rPr>
        <w:t>l</w:t>
      </w:r>
      <w:r w:rsidR="00117841">
        <w:rPr>
          <w:rFonts w:ascii="Palatino Linotype" w:hAnsi="Palatino Linotype" w:cs="Arial"/>
          <w:sz w:val="24"/>
          <w:szCs w:val="24"/>
        </w:rPr>
        <w:t>a</w:t>
      </w:r>
      <w:r w:rsidRPr="00770B87">
        <w:rPr>
          <w:rFonts w:ascii="Palatino Linotype" w:hAnsi="Palatino Linotype" w:cs="Arial"/>
          <w:sz w:val="24"/>
          <w:szCs w:val="24"/>
        </w:rPr>
        <w:t xml:space="preserve"> </w:t>
      </w:r>
      <w:r w:rsidR="00117841">
        <w:rPr>
          <w:rFonts w:ascii="Palatino Linotype" w:eastAsia="Calibri" w:hAnsi="Palatino Linotype" w:cs="Times New Roman"/>
          <w:b/>
          <w:sz w:val="24"/>
          <w:szCs w:val="24"/>
          <w:lang w:val="es-ES" w:eastAsia="es-ES"/>
        </w:rPr>
        <w:t>Universidad Politécnica del Valle de Toluca</w:t>
      </w:r>
      <w:r w:rsidRPr="00770B87">
        <w:rPr>
          <w:rFonts w:ascii="Palatino Linotype" w:hAnsi="Palatino Linotype" w:cs="Arial"/>
          <w:sz w:val="24"/>
          <w:szCs w:val="24"/>
        </w:rPr>
        <w:t>, procedimiento a</w:t>
      </w:r>
      <w:r w:rsidR="0000525F" w:rsidRPr="00770B87">
        <w:rPr>
          <w:rFonts w:ascii="Palatino Linotype" w:hAnsi="Palatino Linotype" w:cs="Arial"/>
          <w:sz w:val="24"/>
          <w:szCs w:val="24"/>
        </w:rPr>
        <w:t>l</w:t>
      </w:r>
      <w:r w:rsidR="00902248" w:rsidRPr="00770B87">
        <w:rPr>
          <w:rFonts w:ascii="Palatino Linotype" w:hAnsi="Palatino Linotype" w:cs="Arial"/>
          <w:sz w:val="24"/>
          <w:szCs w:val="24"/>
        </w:rPr>
        <w:t xml:space="preserve"> que se le asignó </w:t>
      </w:r>
      <w:r w:rsidR="0000525F" w:rsidRPr="00770B87">
        <w:rPr>
          <w:rFonts w:ascii="Palatino Linotype" w:hAnsi="Palatino Linotype" w:cs="Arial"/>
          <w:sz w:val="24"/>
          <w:szCs w:val="24"/>
        </w:rPr>
        <w:t>el</w:t>
      </w:r>
      <w:r w:rsidRPr="00770B87">
        <w:rPr>
          <w:rFonts w:ascii="Palatino Linotype" w:hAnsi="Palatino Linotype" w:cs="Arial"/>
          <w:sz w:val="24"/>
          <w:szCs w:val="24"/>
        </w:rPr>
        <w:t xml:space="preserve"> número de expediente </w:t>
      </w:r>
      <w:r w:rsidR="003B44CB" w:rsidRPr="00770B87">
        <w:rPr>
          <w:rFonts w:ascii="Palatino Linotype" w:hAnsi="Palatino Linotype" w:cs="Arial"/>
          <w:b/>
          <w:bCs/>
          <w:lang w:eastAsia="es-MX"/>
        </w:rPr>
        <w:t>0</w:t>
      </w:r>
      <w:r w:rsidR="00117841">
        <w:rPr>
          <w:rFonts w:ascii="Palatino Linotype" w:hAnsi="Palatino Linotype" w:cs="Arial"/>
          <w:b/>
          <w:bCs/>
          <w:lang w:eastAsia="es-MX"/>
        </w:rPr>
        <w:t>2364</w:t>
      </w:r>
      <w:r w:rsidR="00441939">
        <w:rPr>
          <w:rFonts w:ascii="Palatino Linotype" w:hAnsi="Palatino Linotype" w:cs="Arial"/>
          <w:b/>
          <w:bCs/>
          <w:lang w:eastAsia="es-MX"/>
        </w:rPr>
        <w:t>/</w:t>
      </w:r>
      <w:r w:rsidR="00117841">
        <w:rPr>
          <w:rFonts w:ascii="Palatino Linotype" w:hAnsi="Palatino Linotype" w:cs="Arial"/>
          <w:b/>
          <w:bCs/>
          <w:lang w:eastAsia="es-MX"/>
        </w:rPr>
        <w:t>INFOEM/IP/RR/2018.</w:t>
      </w:r>
    </w:p>
    <w:p w:rsidR="00770B87" w:rsidRPr="00770B87" w:rsidRDefault="00770B87" w:rsidP="00770B87">
      <w:pPr>
        <w:pStyle w:val="Prrafodelista"/>
        <w:spacing w:after="0" w:line="360" w:lineRule="auto"/>
        <w:ind w:left="426"/>
        <w:jc w:val="both"/>
        <w:rPr>
          <w:rFonts w:ascii="Palatino Linotype" w:hAnsi="Palatino Linotype" w:cs="Arial"/>
          <w:sz w:val="24"/>
          <w:szCs w:val="24"/>
        </w:rPr>
      </w:pPr>
    </w:p>
    <w:p w:rsidR="00770B87" w:rsidRPr="00441939" w:rsidRDefault="0085533E" w:rsidP="00770B87">
      <w:pPr>
        <w:pStyle w:val="Prrafodelista"/>
        <w:numPr>
          <w:ilvl w:val="0"/>
          <w:numId w:val="1"/>
        </w:numPr>
        <w:spacing w:after="0" w:line="360" w:lineRule="auto"/>
        <w:ind w:left="426"/>
        <w:jc w:val="both"/>
        <w:rPr>
          <w:rFonts w:ascii="Palatino Linotype" w:hAnsi="Palatino Linotype" w:cs="Arial"/>
          <w:sz w:val="24"/>
          <w:szCs w:val="24"/>
        </w:rPr>
      </w:pPr>
      <w:r w:rsidRPr="00441939">
        <w:rPr>
          <w:rFonts w:ascii="Palatino Linotype" w:eastAsia="Times New Roman" w:hAnsi="Palatino Linotype" w:cs="Arial"/>
          <w:sz w:val="24"/>
          <w:szCs w:val="24"/>
          <w:lang w:val="es-ES_tradnl"/>
        </w:rPr>
        <w:lastRenderedPageBreak/>
        <w:t>La</w:t>
      </w:r>
      <w:r w:rsidRPr="00441939">
        <w:rPr>
          <w:rFonts w:ascii="Palatino Linotype" w:hAnsi="Palatino Linotype" w:cs="Arial"/>
          <w:sz w:val="24"/>
          <w:szCs w:val="24"/>
        </w:rPr>
        <w:t xml:space="preserve"> resolución declara </w:t>
      </w:r>
      <w:r w:rsidR="00770B87" w:rsidRPr="00441939">
        <w:rPr>
          <w:rFonts w:ascii="Palatino Linotype" w:hAnsi="Palatino Linotype" w:cs="Arial"/>
          <w:sz w:val="24"/>
          <w:szCs w:val="24"/>
        </w:rPr>
        <w:t xml:space="preserve">que </w:t>
      </w:r>
      <w:r w:rsidR="00117841">
        <w:rPr>
          <w:rFonts w:ascii="Palatino Linotype" w:eastAsia="Times New Roman" w:hAnsi="Palatino Linotype" w:cs="Arial"/>
          <w:color w:val="000000" w:themeColor="text1"/>
          <w:sz w:val="24"/>
          <w:szCs w:val="24"/>
          <w:lang w:val="es-ES" w:eastAsia="es-ES"/>
        </w:rPr>
        <w:t>se modifica</w:t>
      </w:r>
      <w:r w:rsidR="00770B87" w:rsidRPr="00441939">
        <w:rPr>
          <w:rFonts w:ascii="Palatino Linotype" w:eastAsia="Times New Roman" w:hAnsi="Palatino Linotype" w:cs="Arial"/>
          <w:color w:val="000000" w:themeColor="text1"/>
          <w:sz w:val="24"/>
          <w:szCs w:val="24"/>
          <w:lang w:val="es-ES" w:eastAsia="es-ES"/>
        </w:rPr>
        <w:t xml:space="preserve"> la respuesta </w:t>
      </w:r>
      <w:r w:rsidR="00B46F4B" w:rsidRPr="00441939">
        <w:rPr>
          <w:rFonts w:ascii="Palatino Linotype" w:eastAsia="Times New Roman" w:hAnsi="Palatino Linotype" w:cs="Arial"/>
          <w:color w:val="000000" w:themeColor="text1"/>
          <w:sz w:val="24"/>
          <w:szCs w:val="24"/>
          <w:lang w:val="es-ES" w:eastAsia="es-ES"/>
        </w:rPr>
        <w:t>d</w:t>
      </w:r>
      <w:r w:rsidR="00770B87" w:rsidRPr="00441939">
        <w:rPr>
          <w:rFonts w:ascii="Palatino Linotype" w:eastAsia="Times New Roman" w:hAnsi="Palatino Linotype" w:cs="Arial"/>
          <w:color w:val="000000" w:themeColor="text1"/>
          <w:sz w:val="24"/>
          <w:szCs w:val="24"/>
          <w:lang w:val="es-ES" w:eastAsia="es-ES"/>
        </w:rPr>
        <w:t xml:space="preserve">el </w:t>
      </w:r>
      <w:r w:rsidR="00770B87" w:rsidRPr="00441939">
        <w:rPr>
          <w:rFonts w:ascii="Palatino Linotype" w:eastAsia="Times New Roman" w:hAnsi="Palatino Linotype" w:cs="Arial"/>
          <w:b/>
          <w:color w:val="000000" w:themeColor="text1"/>
          <w:sz w:val="24"/>
          <w:szCs w:val="24"/>
          <w:lang w:val="es-ES" w:eastAsia="es-ES"/>
        </w:rPr>
        <w:t xml:space="preserve">SUJETO OBLIGADO </w:t>
      </w:r>
      <w:r w:rsidR="00B46F4B" w:rsidRPr="00441939">
        <w:rPr>
          <w:rFonts w:ascii="Palatino Linotype" w:eastAsia="Times New Roman" w:hAnsi="Palatino Linotype" w:cs="Arial"/>
          <w:color w:val="000000" w:themeColor="text1"/>
          <w:sz w:val="24"/>
          <w:szCs w:val="24"/>
          <w:lang w:val="es-ES" w:eastAsia="es-ES"/>
        </w:rPr>
        <w:t>y ordena que</w:t>
      </w:r>
      <w:r w:rsidR="00770B87" w:rsidRPr="00441939">
        <w:rPr>
          <w:rFonts w:ascii="Palatino Linotype" w:eastAsia="Times New Roman" w:hAnsi="Palatino Linotype" w:cs="Arial"/>
          <w:color w:val="000000" w:themeColor="text1"/>
          <w:sz w:val="24"/>
          <w:szCs w:val="24"/>
          <w:lang w:val="es-ES" w:eastAsia="es-ES"/>
        </w:rPr>
        <w:t xml:space="preserve"> en términos del Considerando </w:t>
      </w:r>
      <w:r w:rsidR="00441939" w:rsidRPr="00441939">
        <w:rPr>
          <w:rFonts w:ascii="Palatino Linotype" w:eastAsia="Times New Roman" w:hAnsi="Palatino Linotype" w:cs="Arial"/>
          <w:color w:val="000000" w:themeColor="text1"/>
          <w:sz w:val="24"/>
          <w:szCs w:val="24"/>
          <w:lang w:val="es-ES" w:eastAsia="es-ES"/>
        </w:rPr>
        <w:t xml:space="preserve">Cuarto </w:t>
      </w:r>
      <w:r w:rsidR="00117841">
        <w:rPr>
          <w:rFonts w:ascii="Palatino Linotype" w:eastAsia="Times New Roman" w:hAnsi="Palatino Linotype" w:cs="Arial"/>
          <w:color w:val="000000" w:themeColor="text1"/>
          <w:sz w:val="24"/>
          <w:szCs w:val="24"/>
          <w:lang w:val="es-ES" w:eastAsia="es-ES"/>
        </w:rPr>
        <w:t xml:space="preserve">y ordena </w:t>
      </w:r>
      <w:r w:rsidR="00441939" w:rsidRPr="00441939">
        <w:rPr>
          <w:rFonts w:ascii="Palatino Linotype" w:eastAsia="Times New Roman" w:hAnsi="Palatino Linotype" w:cs="Arial"/>
          <w:color w:val="000000" w:themeColor="text1"/>
          <w:sz w:val="24"/>
          <w:szCs w:val="24"/>
          <w:lang w:val="es-ES" w:eastAsia="es-ES"/>
        </w:rPr>
        <w:t>entrega</w:t>
      </w:r>
      <w:r w:rsidR="00117841">
        <w:rPr>
          <w:rFonts w:ascii="Palatino Linotype" w:eastAsia="Times New Roman" w:hAnsi="Palatino Linotype" w:cs="Arial"/>
          <w:color w:val="000000" w:themeColor="text1"/>
          <w:sz w:val="24"/>
          <w:szCs w:val="24"/>
          <w:lang w:val="es-ES" w:eastAsia="es-ES"/>
        </w:rPr>
        <w:t>r</w:t>
      </w:r>
      <w:r w:rsidR="00441939" w:rsidRPr="00441939">
        <w:rPr>
          <w:rFonts w:ascii="Palatino Linotype" w:eastAsia="Times New Roman" w:hAnsi="Palatino Linotype" w:cs="Arial"/>
          <w:color w:val="000000" w:themeColor="text1"/>
          <w:sz w:val="24"/>
          <w:szCs w:val="24"/>
          <w:lang w:val="es-ES" w:eastAsia="es-ES"/>
        </w:rPr>
        <w:t xml:space="preserve"> </w:t>
      </w:r>
      <w:r w:rsidR="00B46F4B" w:rsidRPr="00441939">
        <w:rPr>
          <w:rFonts w:ascii="Palatino Linotype" w:eastAsia="Times New Roman" w:hAnsi="Palatino Linotype" w:cs="Arial"/>
          <w:color w:val="000000" w:themeColor="text1"/>
          <w:sz w:val="24"/>
          <w:szCs w:val="24"/>
          <w:lang w:val="es-ES" w:eastAsia="es-ES"/>
        </w:rPr>
        <w:t xml:space="preserve">vía SAIMEX, </w:t>
      </w:r>
      <w:r w:rsidR="00117841">
        <w:rPr>
          <w:rFonts w:ascii="Palatino Linotype" w:eastAsia="Times New Roman" w:hAnsi="Palatino Linotype" w:cs="Arial"/>
          <w:color w:val="000000" w:themeColor="text1"/>
          <w:sz w:val="24"/>
          <w:szCs w:val="24"/>
          <w:lang w:val="es-ES" w:eastAsia="es-ES"/>
        </w:rPr>
        <w:t>de los documentos en versión pública en los que conste lo siguiente</w:t>
      </w:r>
      <w:r w:rsidR="00B46F4B" w:rsidRPr="00441939">
        <w:rPr>
          <w:rFonts w:ascii="Palatino Linotype" w:eastAsia="Times New Roman" w:hAnsi="Palatino Linotype" w:cs="Arial"/>
          <w:color w:val="000000" w:themeColor="text1"/>
          <w:sz w:val="24"/>
          <w:szCs w:val="24"/>
          <w:lang w:val="es-ES" w:eastAsia="es-ES"/>
        </w:rPr>
        <w:t xml:space="preserve">: </w:t>
      </w:r>
    </w:p>
    <w:p w:rsidR="00441939" w:rsidRPr="00441939" w:rsidRDefault="00441939" w:rsidP="00441939">
      <w:pPr>
        <w:pStyle w:val="Prrafodelista"/>
        <w:rPr>
          <w:rFonts w:ascii="Palatino Linotype" w:hAnsi="Palatino Linotype" w:cs="Arial"/>
          <w:sz w:val="24"/>
          <w:szCs w:val="24"/>
        </w:rPr>
      </w:pPr>
    </w:p>
    <w:p w:rsidR="00441939" w:rsidRPr="003A3575" w:rsidRDefault="00441939" w:rsidP="00441939">
      <w:pPr>
        <w:pStyle w:val="Prrafodelista"/>
        <w:spacing w:after="0" w:line="360" w:lineRule="auto"/>
        <w:ind w:left="426"/>
        <w:jc w:val="both"/>
        <w:rPr>
          <w:rFonts w:ascii="Palatino Linotype" w:hAnsi="Palatino Linotype" w:cs="Arial"/>
          <w:sz w:val="24"/>
          <w:szCs w:val="24"/>
        </w:rPr>
      </w:pPr>
    </w:p>
    <w:p w:rsidR="00B46F4B" w:rsidRDefault="00957232" w:rsidP="00117841">
      <w:pPr>
        <w:pStyle w:val="Prrafodelista"/>
        <w:spacing w:after="0" w:line="240" w:lineRule="auto"/>
        <w:ind w:left="1647" w:right="616"/>
        <w:jc w:val="both"/>
        <w:rPr>
          <w:rFonts w:ascii="Palatino Linotype" w:eastAsia="Arial Unicode MS" w:hAnsi="Palatino Linotype" w:cs="Arial"/>
          <w:i/>
        </w:rPr>
      </w:pPr>
      <w:r>
        <w:rPr>
          <w:rFonts w:ascii="Palatino Linotype" w:eastAsia="Arial Unicode MS" w:hAnsi="Palatino Linotype" w:cs="Arial"/>
          <w:i/>
        </w:rPr>
        <w:t>“</w:t>
      </w:r>
      <w:r w:rsidR="00117841" w:rsidRPr="00117841">
        <w:rPr>
          <w:rFonts w:ascii="Palatino Linotype" w:eastAsia="Arial Unicode MS" w:hAnsi="Palatino Linotype" w:cs="Arial"/>
          <w:i/>
        </w:rPr>
        <w:t>a)</w:t>
      </w:r>
      <w:r w:rsidR="00117841" w:rsidRPr="00117841">
        <w:rPr>
          <w:rFonts w:ascii="Palatino Linotype" w:eastAsia="Arial Unicode MS" w:hAnsi="Palatino Linotype" w:cs="Arial"/>
          <w:i/>
        </w:rPr>
        <w:tab/>
        <w:t>Nombre de las personas que ocupan el puesto de secretaria en la Dirección de Administración y Finanzas y el Departamento de Recursos Financieros.</w:t>
      </w:r>
    </w:p>
    <w:p w:rsidR="00117841" w:rsidRDefault="00117841" w:rsidP="00117841">
      <w:pPr>
        <w:pStyle w:val="Prrafodelista"/>
        <w:spacing w:after="0" w:line="240" w:lineRule="auto"/>
        <w:ind w:left="1647" w:right="616"/>
        <w:jc w:val="both"/>
        <w:rPr>
          <w:rFonts w:ascii="Palatino Linotype" w:eastAsia="Arial Unicode MS" w:hAnsi="Palatino Linotype" w:cs="Arial"/>
          <w:i/>
        </w:rPr>
      </w:pPr>
    </w:p>
    <w:p w:rsidR="00117841" w:rsidRDefault="00117841" w:rsidP="00117841">
      <w:pPr>
        <w:pStyle w:val="Prrafodelista"/>
        <w:spacing w:after="0" w:line="240" w:lineRule="auto"/>
        <w:ind w:left="1647" w:right="616"/>
        <w:jc w:val="both"/>
        <w:rPr>
          <w:rFonts w:ascii="Palatino Linotype" w:hAnsi="Palatino Linotype" w:cs="Arial"/>
          <w:bCs/>
          <w:i/>
          <w:shd w:val="clear" w:color="auto" w:fill="FFFFFF"/>
        </w:rPr>
      </w:pPr>
      <w:r w:rsidRPr="00117841">
        <w:rPr>
          <w:rFonts w:ascii="Palatino Linotype" w:hAnsi="Palatino Linotype" w:cs="Arial"/>
          <w:bCs/>
          <w:i/>
          <w:shd w:val="clear" w:color="auto" w:fill="FFFFFF"/>
        </w:rPr>
        <w:t>De ser necesaria la versión pública, se deberá emitir el Acuerdo del Comité de Transparencia de acuerdo con la Ley de Transparencia y Acceso a la Información Pública del Estado de México y Municipios, en el que funde y motive las razones sobre los datos que se supriman o eliminen del documento que se ordena, mismo que igualmente se hará de conocimiento del recurrente.</w:t>
      </w:r>
    </w:p>
    <w:p w:rsidR="00117841" w:rsidRPr="00117841" w:rsidRDefault="00117841" w:rsidP="00117841">
      <w:pPr>
        <w:pStyle w:val="Prrafodelista"/>
        <w:spacing w:after="0" w:line="240" w:lineRule="auto"/>
        <w:ind w:left="1647" w:right="616"/>
        <w:jc w:val="both"/>
        <w:rPr>
          <w:rFonts w:ascii="Palatino Linotype" w:hAnsi="Palatino Linotype" w:cs="Arial"/>
          <w:bCs/>
          <w:i/>
          <w:shd w:val="clear" w:color="auto" w:fill="FFFFFF"/>
        </w:rPr>
      </w:pPr>
    </w:p>
    <w:p w:rsidR="00117841" w:rsidRPr="00117841" w:rsidRDefault="00117841" w:rsidP="00117841">
      <w:pPr>
        <w:pStyle w:val="Prrafodelista"/>
        <w:spacing w:after="0" w:line="240" w:lineRule="auto"/>
        <w:ind w:left="1647" w:right="616"/>
        <w:jc w:val="both"/>
        <w:rPr>
          <w:rFonts w:ascii="Palatino Linotype" w:hAnsi="Palatino Linotype" w:cs="Arial"/>
          <w:b/>
          <w:bCs/>
          <w:i/>
          <w:shd w:val="clear" w:color="auto" w:fill="FFFFFF"/>
        </w:rPr>
      </w:pPr>
      <w:r w:rsidRPr="00117841">
        <w:rPr>
          <w:rFonts w:ascii="Palatino Linotype" w:hAnsi="Palatino Linotype" w:cs="Arial"/>
          <w:b/>
          <w:bCs/>
          <w:i/>
          <w:shd w:val="clear" w:color="auto" w:fill="FFFFFF"/>
        </w:rPr>
        <w:t>Para el caso de no contar con la información que se ordena, bastará con que se pronuncie en tal sentido.”</w:t>
      </w:r>
    </w:p>
    <w:p w:rsidR="00D33AF9" w:rsidRPr="00117841" w:rsidRDefault="00D33AF9" w:rsidP="00770B87">
      <w:pPr>
        <w:pStyle w:val="Prrafodelista"/>
        <w:spacing w:before="240" w:after="240" w:line="360" w:lineRule="auto"/>
        <w:ind w:left="360" w:right="49"/>
        <w:jc w:val="both"/>
        <w:rPr>
          <w:rFonts w:ascii="Palatino Linotype" w:hAnsi="Palatino Linotype" w:cs="Arial"/>
          <w:b/>
          <w:i/>
          <w:sz w:val="24"/>
          <w:szCs w:val="24"/>
        </w:rPr>
      </w:pPr>
    </w:p>
    <w:p w:rsidR="0046491C"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Mi </w:t>
      </w:r>
      <w:r w:rsidR="00D33AF9" w:rsidRPr="00D33AF9">
        <w:rPr>
          <w:rFonts w:ascii="Palatino Linotype" w:hAnsi="Palatino Linotype" w:cs="Arial"/>
          <w:sz w:val="24"/>
          <w:szCs w:val="24"/>
        </w:rPr>
        <w:t>voto</w:t>
      </w:r>
      <w:r w:rsidRPr="00D33AF9">
        <w:rPr>
          <w:rFonts w:ascii="Palatino Linotype" w:hAnsi="Palatino Linotype" w:cs="Arial"/>
          <w:sz w:val="24"/>
          <w:szCs w:val="24"/>
        </w:rPr>
        <w:t xml:space="preserve"> particular se deriva del hecho de que se haya invocado la figura de actos consentidos en el presente asunto, resultando del todo innecesario hacer referencia a dicha figura, pese a que</w:t>
      </w:r>
      <w:r w:rsidR="00302274">
        <w:rPr>
          <w:rFonts w:ascii="Palatino Linotype" w:hAnsi="Palatino Linotype" w:cs="Arial"/>
          <w:sz w:val="24"/>
          <w:szCs w:val="24"/>
        </w:rPr>
        <w:t xml:space="preserve"> en sentido de la resolución </w:t>
      </w:r>
      <w:r w:rsidRPr="00D33AF9">
        <w:rPr>
          <w:rFonts w:ascii="Palatino Linotype" w:hAnsi="Palatino Linotype" w:cs="Arial"/>
          <w:sz w:val="24"/>
          <w:szCs w:val="24"/>
        </w:rPr>
        <w:t>modificar la</w:t>
      </w:r>
      <w:r w:rsidR="00441939">
        <w:rPr>
          <w:rFonts w:ascii="Palatino Linotype" w:hAnsi="Palatino Linotype" w:cs="Arial"/>
          <w:sz w:val="24"/>
          <w:szCs w:val="24"/>
        </w:rPr>
        <w:t>s</w:t>
      </w:r>
      <w:r w:rsidRPr="00D33AF9">
        <w:rPr>
          <w:rFonts w:ascii="Palatino Linotype" w:hAnsi="Palatino Linotype" w:cs="Arial"/>
          <w:sz w:val="24"/>
          <w:szCs w:val="24"/>
        </w:rPr>
        <w:t xml:space="preserve"> respuesta</w:t>
      </w:r>
      <w:r w:rsidR="00441939">
        <w:rPr>
          <w:rFonts w:ascii="Palatino Linotype" w:hAnsi="Palatino Linotype" w:cs="Arial"/>
          <w:sz w:val="24"/>
          <w:szCs w:val="24"/>
        </w:rPr>
        <w:t>s</w:t>
      </w:r>
      <w:r w:rsidRPr="00D33AF9">
        <w:rPr>
          <w:rFonts w:ascii="Palatino Linotype" w:hAnsi="Palatino Linotype" w:cs="Arial"/>
          <w:sz w:val="24"/>
          <w:szCs w:val="24"/>
        </w:rPr>
        <w:t xml:space="preserve"> proporcionada</w:t>
      </w:r>
      <w:r w:rsidR="00441939">
        <w:rPr>
          <w:rFonts w:ascii="Palatino Linotype" w:hAnsi="Palatino Linotype" w:cs="Arial"/>
          <w:sz w:val="24"/>
          <w:szCs w:val="24"/>
        </w:rPr>
        <w:t>s</w:t>
      </w:r>
      <w:r w:rsidRPr="00D33AF9">
        <w:rPr>
          <w:rFonts w:ascii="Palatino Linotype" w:hAnsi="Palatino Linotype" w:cs="Arial"/>
          <w:sz w:val="24"/>
          <w:szCs w:val="24"/>
        </w:rPr>
        <w:t xml:space="preserve"> a la</w:t>
      </w:r>
      <w:r w:rsidR="00441939">
        <w:rPr>
          <w:rFonts w:ascii="Palatino Linotype" w:hAnsi="Palatino Linotype" w:cs="Arial"/>
          <w:sz w:val="24"/>
          <w:szCs w:val="24"/>
        </w:rPr>
        <w:t>s</w:t>
      </w:r>
      <w:r w:rsidRPr="00D33AF9">
        <w:rPr>
          <w:rFonts w:ascii="Palatino Linotype" w:hAnsi="Palatino Linotype" w:cs="Arial"/>
          <w:sz w:val="24"/>
          <w:szCs w:val="24"/>
        </w:rPr>
        <w:t xml:space="preserve"> solicitud</w:t>
      </w:r>
      <w:r w:rsidR="00441939">
        <w:rPr>
          <w:rFonts w:ascii="Palatino Linotype" w:hAnsi="Palatino Linotype" w:cs="Arial"/>
          <w:sz w:val="24"/>
          <w:szCs w:val="24"/>
        </w:rPr>
        <w:t>es</w:t>
      </w:r>
      <w:r w:rsidRPr="00D33AF9">
        <w:rPr>
          <w:rFonts w:ascii="Palatino Linotype" w:hAnsi="Palatino Linotype" w:cs="Arial"/>
          <w:sz w:val="24"/>
          <w:szCs w:val="24"/>
        </w:rPr>
        <w:t>, lo cual he manifestado en diversas ocasiones señalando que no deben invocarse en el derecho de acceso a la información pública.</w:t>
      </w:r>
    </w:p>
    <w:p w:rsidR="00B46F4B" w:rsidRDefault="00B46F4B" w:rsidP="00B46F4B">
      <w:pPr>
        <w:pStyle w:val="Prrafodelista"/>
        <w:spacing w:after="0" w:line="360" w:lineRule="auto"/>
        <w:ind w:left="426"/>
        <w:jc w:val="both"/>
        <w:rPr>
          <w:rFonts w:ascii="Palatino Linotype" w:hAnsi="Palatino Linotype" w:cs="Arial"/>
          <w:sz w:val="24"/>
          <w:szCs w:val="24"/>
        </w:rPr>
      </w:pPr>
    </w:p>
    <w:p w:rsidR="0046491C" w:rsidRPr="00B46F4B" w:rsidRDefault="0046491C" w:rsidP="00B46F4B">
      <w:pPr>
        <w:pStyle w:val="Prrafodelista"/>
        <w:numPr>
          <w:ilvl w:val="0"/>
          <w:numId w:val="1"/>
        </w:numPr>
        <w:spacing w:after="0" w:line="360" w:lineRule="auto"/>
        <w:ind w:left="426"/>
        <w:jc w:val="both"/>
        <w:rPr>
          <w:rFonts w:ascii="Palatino Linotype" w:hAnsi="Palatino Linotype" w:cs="Arial"/>
          <w:sz w:val="24"/>
          <w:szCs w:val="24"/>
        </w:rPr>
      </w:pPr>
      <w:r w:rsidRPr="00B46F4B">
        <w:rPr>
          <w:rFonts w:ascii="Palatino Linotype" w:hAnsi="Palatino Linotype" w:cs="Arial"/>
          <w:sz w:val="24"/>
          <w:szCs w:val="24"/>
        </w:rPr>
        <w:lastRenderedPageBreak/>
        <w:t>Por tal motivo y en</w:t>
      </w:r>
      <w:r w:rsidR="009C3135" w:rsidRPr="00B46F4B">
        <w:rPr>
          <w:rFonts w:ascii="Palatino Linotype" w:hAnsi="Palatino Linotype" w:cs="Arial"/>
          <w:sz w:val="24"/>
          <w:szCs w:val="24"/>
        </w:rPr>
        <w:t xml:space="preserve"> términos de lo señalado por el</w:t>
      </w:r>
      <w:r w:rsidRPr="00B46F4B">
        <w:rPr>
          <w:rFonts w:ascii="Palatino Linotype" w:hAnsi="Palatino Linotype" w:cs="Arial"/>
          <w:sz w:val="24"/>
          <w:szCs w:val="24"/>
        </w:rPr>
        <w:t xml:space="preserve"> artículo </w:t>
      </w:r>
      <w:r w:rsidR="009C3135" w:rsidRPr="00B46F4B">
        <w:rPr>
          <w:rFonts w:ascii="Palatino Linotype" w:hAnsi="Palatino Linotype" w:cs="Arial"/>
          <w:sz w:val="24"/>
          <w:szCs w:val="24"/>
        </w:rPr>
        <w:t>14 fracción X</w:t>
      </w:r>
      <w:r w:rsidRPr="00B46F4B">
        <w:rPr>
          <w:rFonts w:ascii="Palatino Linotype" w:hAnsi="Palatino Linotype" w:cs="Arial"/>
          <w:sz w:val="24"/>
          <w:szCs w:val="24"/>
        </w:rPr>
        <w:t xml:space="preserve">I del Reglamento Interior del Instituto de Transparencia y Acceso a la Información Pública del Estado de México y Municipios formulo el presente voto particular. </w:t>
      </w:r>
    </w:p>
    <w:p w:rsidR="00920A6F" w:rsidRPr="00920A6F" w:rsidRDefault="00920A6F" w:rsidP="00920A6F">
      <w:pPr>
        <w:pStyle w:val="Prrafodelista"/>
        <w:rPr>
          <w:rFonts w:ascii="Palatino Linotype" w:hAnsi="Palatino Linotype" w:cs="Arial"/>
          <w:sz w:val="24"/>
          <w:szCs w:val="24"/>
        </w:rPr>
      </w:pPr>
    </w:p>
    <w:p w:rsidR="0046491C" w:rsidRPr="00D12DE7" w:rsidRDefault="0046491C" w:rsidP="0046491C">
      <w:pPr>
        <w:pStyle w:val="Ttulo1"/>
        <w:numPr>
          <w:ilvl w:val="0"/>
          <w:numId w:val="12"/>
        </w:numPr>
        <w:rPr>
          <w:szCs w:val="24"/>
        </w:rPr>
      </w:pPr>
      <w:bookmarkStart w:id="2" w:name="_Toc523142192"/>
      <w:r w:rsidRPr="00D12DE7">
        <w:rPr>
          <w:szCs w:val="24"/>
        </w:rPr>
        <w:t>De los requerimientos planteados en el recurso de revisión.</w:t>
      </w:r>
      <w:bookmarkEnd w:id="2"/>
    </w:p>
    <w:p w:rsidR="0046491C" w:rsidRPr="00D33AF9" w:rsidRDefault="0046491C" w:rsidP="0046491C">
      <w:pPr>
        <w:pStyle w:val="Prrafodelista"/>
        <w:spacing w:line="360" w:lineRule="auto"/>
        <w:ind w:left="1080"/>
        <w:jc w:val="both"/>
        <w:rPr>
          <w:rFonts w:ascii="Palatino Linotype" w:hAnsi="Palatino Linotype" w:cs="Arial"/>
          <w:b/>
          <w:sz w:val="24"/>
          <w:szCs w:val="24"/>
        </w:rPr>
      </w:pPr>
    </w:p>
    <w:p w:rsidR="0046491C" w:rsidRPr="00996597" w:rsidRDefault="002E7894" w:rsidP="000F0579">
      <w:pPr>
        <w:pStyle w:val="Prrafodelista"/>
        <w:numPr>
          <w:ilvl w:val="0"/>
          <w:numId w:val="1"/>
        </w:numPr>
        <w:spacing w:after="0" w:line="360" w:lineRule="auto"/>
        <w:ind w:left="426"/>
        <w:jc w:val="both"/>
        <w:rPr>
          <w:rFonts w:ascii="Palatino Linotype" w:eastAsia="Times New Roman" w:hAnsi="Palatino Linotype" w:cs="Arial"/>
          <w:sz w:val="24"/>
          <w:szCs w:val="24"/>
        </w:rPr>
      </w:pPr>
      <w:r>
        <w:rPr>
          <w:rFonts w:ascii="Palatino Linotype" w:hAnsi="Palatino Linotype"/>
        </w:rPr>
        <w:t>El particular</w:t>
      </w:r>
      <w:r w:rsidR="0046491C" w:rsidRPr="00D33AF9">
        <w:rPr>
          <w:rFonts w:ascii="Palatino Linotype" w:hAnsi="Palatino Linotype" w:cs="Arial"/>
          <w:sz w:val="24"/>
          <w:szCs w:val="24"/>
        </w:rPr>
        <w:t>, mediante la solicitud de acceso a la información</w:t>
      </w:r>
      <w:r w:rsidR="0046491C" w:rsidRPr="00D33AF9">
        <w:rPr>
          <w:rFonts w:ascii="Palatino Linotype" w:hAnsi="Palatino Linotype" w:cs="Arial"/>
          <w:b/>
        </w:rPr>
        <w:t>,</w:t>
      </w:r>
      <w:r w:rsidR="00902248">
        <w:rPr>
          <w:rFonts w:ascii="Palatino Linotype" w:hAnsi="Palatino Linotype" w:cs="Arial"/>
          <w:b/>
        </w:rPr>
        <w:t xml:space="preserve"> </w:t>
      </w:r>
      <w:r w:rsidR="0046491C" w:rsidRPr="00D33AF9">
        <w:rPr>
          <w:rFonts w:ascii="Palatino Linotype" w:hAnsi="Palatino Linotype" w:cs="Arial"/>
          <w:sz w:val="24"/>
          <w:szCs w:val="24"/>
        </w:rPr>
        <w:t xml:space="preserve">requirió lo siguiente: </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441939" w:rsidRPr="00441939" w:rsidRDefault="00441939" w:rsidP="00117841">
      <w:pPr>
        <w:pStyle w:val="Prrafodelista"/>
        <w:spacing w:before="100" w:beforeAutospacing="1" w:after="100" w:afterAutospacing="1"/>
        <w:ind w:left="851" w:right="851"/>
        <w:jc w:val="both"/>
        <w:rPr>
          <w:rFonts w:ascii="Palatino Linotype" w:hAnsi="Palatino Linotype" w:cs="Arial"/>
          <w:i/>
        </w:rPr>
      </w:pPr>
      <w:r w:rsidRPr="00441939">
        <w:rPr>
          <w:rFonts w:ascii="Palatino Linotype" w:hAnsi="Palatino Linotype" w:cs="Arial"/>
          <w:i/>
        </w:rPr>
        <w:t>“</w:t>
      </w:r>
      <w:r w:rsidR="00117841" w:rsidRPr="00117841">
        <w:rPr>
          <w:rFonts w:ascii="Palatino Linotype" w:hAnsi="Palatino Linotype" w:cs="Arial"/>
          <w:i/>
        </w:rPr>
        <w:t xml:space="preserve">En la respuesta a la solicitud 193/2018 dan respuesta a q solo hay una secretaría en </w:t>
      </w:r>
      <w:proofErr w:type="spellStart"/>
      <w:r w:rsidR="00117841" w:rsidRPr="00117841">
        <w:rPr>
          <w:rFonts w:ascii="Palatino Linotype" w:hAnsi="Palatino Linotype" w:cs="Arial"/>
          <w:i/>
        </w:rPr>
        <w:t>rectoria</w:t>
      </w:r>
      <w:proofErr w:type="spellEnd"/>
      <w:r w:rsidR="00117841" w:rsidRPr="00117841">
        <w:rPr>
          <w:rFonts w:ascii="Palatino Linotype" w:hAnsi="Palatino Linotype" w:cs="Arial"/>
          <w:i/>
        </w:rPr>
        <w:t xml:space="preserve"> de nombre Emma, al llamar a la universidad contesta en rectoría una Rosario. En la Dirección de Administración y Finanzas no hay nombre de secretaria ni en el Departamento de Recursos Financieros hay listada ninguna secretaria. Evidenciar quienes ocupan los puestos mencionados y dar correctamente la relación de todos los puestos de secretarias y de </w:t>
      </w:r>
      <w:proofErr w:type="spellStart"/>
      <w:r w:rsidR="00117841" w:rsidRPr="00117841">
        <w:rPr>
          <w:rFonts w:ascii="Palatino Linotype" w:hAnsi="Palatino Linotype" w:cs="Arial"/>
          <w:i/>
        </w:rPr>
        <w:t>caracter</w:t>
      </w:r>
      <w:proofErr w:type="spellEnd"/>
      <w:r w:rsidR="00117841" w:rsidRPr="00117841">
        <w:rPr>
          <w:rFonts w:ascii="Palatino Linotype" w:hAnsi="Palatino Linotype" w:cs="Arial"/>
          <w:i/>
        </w:rPr>
        <w:t xml:space="preserve"> administrativo, ya que se evidencia que falsean información y violan el derecho de acceso a la información. No que muy transparente Rectora, ya basta de tu corrupción” (sic)</w:t>
      </w:r>
      <w:r w:rsidR="00117841" w:rsidRPr="00441939">
        <w:rPr>
          <w:rFonts w:ascii="Palatino Linotype" w:hAnsi="Palatino Linotype" w:cs="Arial"/>
          <w:i/>
        </w:rPr>
        <w:t xml:space="preserve"> </w:t>
      </w:r>
    </w:p>
    <w:p w:rsidR="00602B26" w:rsidRPr="00441939" w:rsidRDefault="00602B26" w:rsidP="00441939">
      <w:pPr>
        <w:pStyle w:val="Prrafodelista"/>
        <w:spacing w:before="100" w:beforeAutospacing="1" w:after="100" w:afterAutospacing="1" w:line="360" w:lineRule="auto"/>
        <w:ind w:left="851"/>
        <w:jc w:val="both"/>
        <w:rPr>
          <w:rFonts w:ascii="Palatino Linotype" w:hAnsi="Palatino Linotype" w:cs="Arial"/>
          <w:b/>
        </w:rPr>
      </w:pPr>
    </w:p>
    <w:p w:rsidR="002006FF" w:rsidRPr="002006FF" w:rsidRDefault="002006FF" w:rsidP="00117841">
      <w:pPr>
        <w:pStyle w:val="Prrafodelista"/>
        <w:numPr>
          <w:ilvl w:val="0"/>
          <w:numId w:val="1"/>
        </w:numPr>
        <w:spacing w:after="0" w:line="360" w:lineRule="auto"/>
        <w:jc w:val="both"/>
        <w:rPr>
          <w:rFonts w:ascii="Palatino Linotype" w:hAnsi="Palatino Linotype" w:cs="Arial"/>
          <w:sz w:val="24"/>
          <w:szCs w:val="24"/>
        </w:rPr>
      </w:pPr>
      <w:r w:rsidRPr="002006FF">
        <w:rPr>
          <w:rFonts w:ascii="Palatino Linotype" w:hAnsi="Palatino Linotype" w:cs="Arial"/>
          <w:sz w:val="24"/>
          <w:szCs w:val="24"/>
          <w:lang w:eastAsia="es-MX"/>
        </w:rPr>
        <w:t xml:space="preserve">Cabe señalar, que </w:t>
      </w:r>
      <w:r>
        <w:rPr>
          <w:rFonts w:ascii="Palatino Linotype" w:hAnsi="Palatino Linotype" w:cs="Arial"/>
          <w:sz w:val="24"/>
          <w:szCs w:val="24"/>
          <w:lang w:eastAsia="es-MX"/>
        </w:rPr>
        <w:t xml:space="preserve">el </w:t>
      </w:r>
      <w:r>
        <w:rPr>
          <w:rFonts w:ascii="Palatino Linotype" w:hAnsi="Palatino Linotype" w:cs="Arial"/>
          <w:b/>
          <w:sz w:val="24"/>
          <w:szCs w:val="24"/>
          <w:lang w:eastAsia="es-MX"/>
        </w:rPr>
        <w:t xml:space="preserve">SUJETO OBLIGADO </w:t>
      </w:r>
      <w:r>
        <w:rPr>
          <w:rFonts w:ascii="Palatino Linotype" w:hAnsi="Palatino Linotype" w:cs="Arial"/>
          <w:sz w:val="24"/>
          <w:szCs w:val="24"/>
          <w:lang w:eastAsia="es-MX"/>
        </w:rPr>
        <w:t>respondió parcialmente los requerimientos planteados por el particular</w:t>
      </w:r>
      <w:r w:rsidR="002E7894">
        <w:rPr>
          <w:rFonts w:ascii="Palatino Linotype" w:hAnsi="Palatino Linotype" w:cs="Arial"/>
          <w:sz w:val="24"/>
          <w:szCs w:val="24"/>
          <w:lang w:eastAsia="es-MX"/>
        </w:rPr>
        <w:t xml:space="preserve"> en la</w:t>
      </w:r>
      <w:r w:rsidR="004472A9">
        <w:rPr>
          <w:rFonts w:ascii="Palatino Linotype" w:hAnsi="Palatino Linotype" w:cs="Arial"/>
          <w:sz w:val="24"/>
          <w:szCs w:val="24"/>
          <w:lang w:eastAsia="es-MX"/>
        </w:rPr>
        <w:t xml:space="preserve"> solicitud de información</w:t>
      </w:r>
      <w:r>
        <w:rPr>
          <w:rFonts w:ascii="Palatino Linotype" w:hAnsi="Palatino Linotype" w:cs="Arial"/>
          <w:sz w:val="24"/>
          <w:szCs w:val="24"/>
          <w:lang w:eastAsia="es-MX"/>
        </w:rPr>
        <w:t xml:space="preserve">, </w:t>
      </w:r>
      <w:r w:rsidR="004472A9">
        <w:rPr>
          <w:rFonts w:ascii="Palatino Linotype" w:hAnsi="Palatino Linotype" w:cs="Arial"/>
          <w:sz w:val="24"/>
          <w:szCs w:val="24"/>
          <w:lang w:eastAsia="es-MX"/>
        </w:rPr>
        <w:t xml:space="preserve">motivo por el cual, al interponer </w:t>
      </w:r>
      <w:r w:rsidR="00996597">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recurso de revisión manifestó en las razones o motivos de inconformidad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rubro sobre </w:t>
      </w:r>
      <w:r w:rsidR="002E7894">
        <w:rPr>
          <w:rFonts w:ascii="Palatino Linotype" w:hAnsi="Palatino Linotype" w:cs="Arial"/>
          <w:sz w:val="24"/>
          <w:szCs w:val="24"/>
          <w:lang w:eastAsia="es-MX"/>
        </w:rPr>
        <w:t>el</w:t>
      </w:r>
      <w:r w:rsidR="004472A9">
        <w:rPr>
          <w:rFonts w:ascii="Palatino Linotype" w:hAnsi="Palatino Linotype" w:cs="Arial"/>
          <w:sz w:val="24"/>
          <w:szCs w:val="24"/>
          <w:lang w:eastAsia="es-MX"/>
        </w:rPr>
        <w:t xml:space="preserve"> cual </w:t>
      </w:r>
      <w:r w:rsidR="00117841">
        <w:rPr>
          <w:rFonts w:ascii="Palatino Linotype" w:hAnsi="Palatino Linotype" w:cs="Arial"/>
          <w:sz w:val="24"/>
          <w:szCs w:val="24"/>
          <w:lang w:eastAsia="es-MX"/>
        </w:rPr>
        <w:t>la</w:t>
      </w:r>
      <w:r w:rsidR="004472A9">
        <w:rPr>
          <w:rFonts w:ascii="Palatino Linotype" w:hAnsi="Palatino Linotype" w:cs="Arial"/>
          <w:sz w:val="24"/>
          <w:szCs w:val="24"/>
          <w:lang w:eastAsia="es-MX"/>
        </w:rPr>
        <w:t xml:space="preserve"> </w:t>
      </w:r>
      <w:r w:rsidR="00117841" w:rsidRPr="00117841">
        <w:rPr>
          <w:rFonts w:ascii="Palatino Linotype" w:hAnsi="Palatino Linotype" w:cs="Arial"/>
          <w:b/>
          <w:sz w:val="24"/>
          <w:szCs w:val="24"/>
          <w:lang w:eastAsia="es-MX"/>
        </w:rPr>
        <w:t>Universidad Politécnica del Valle de Toluca</w:t>
      </w:r>
      <w:r w:rsidR="00996597">
        <w:rPr>
          <w:rFonts w:ascii="Palatino Linotype" w:hAnsi="Palatino Linotype" w:cs="Arial"/>
          <w:b/>
          <w:sz w:val="24"/>
          <w:szCs w:val="24"/>
          <w:lang w:eastAsia="es-MX"/>
        </w:rPr>
        <w:t xml:space="preserve"> </w:t>
      </w:r>
      <w:r w:rsidR="004472A9">
        <w:rPr>
          <w:rFonts w:ascii="Palatino Linotype" w:hAnsi="Palatino Linotype" w:cs="Arial"/>
          <w:sz w:val="24"/>
          <w:szCs w:val="24"/>
          <w:lang w:eastAsia="es-MX"/>
        </w:rPr>
        <w:t xml:space="preserve">respondió parcialmente. </w:t>
      </w:r>
    </w:p>
    <w:p w:rsidR="002006FF" w:rsidRDefault="002006FF" w:rsidP="00634736">
      <w:pPr>
        <w:spacing w:line="276" w:lineRule="auto"/>
        <w:ind w:left="993" w:right="1041"/>
        <w:jc w:val="both"/>
        <w:rPr>
          <w:rFonts w:ascii="Palatino Linotype" w:hAnsi="Palatino Linotype" w:cs="Arial"/>
          <w:i/>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lang w:eastAsia="es-MX"/>
        </w:rPr>
        <w:lastRenderedPageBreak/>
        <w:t>Si</w:t>
      </w:r>
      <w:r w:rsidRPr="00D33AF9">
        <w:rPr>
          <w:rFonts w:ascii="Palatino Linotype" w:hAnsi="Palatino Linotype" w:cs="Arial"/>
          <w:sz w:val="24"/>
          <w:szCs w:val="24"/>
        </w:rPr>
        <w:t xml:space="preserve"> bien es de destacar, pese al impedimento de poder proporcionar la totalidad de la información solicitada y en lo particular en el estudio y desarrollo de dicha resolución fueron invocados los llamados actos consentidos, tal y como se observa en las siguientes líneas de la resolución en comento:</w:t>
      </w:r>
    </w:p>
    <w:p w:rsidR="00D73077" w:rsidRPr="00D33AF9" w:rsidRDefault="00D73077" w:rsidP="00D73077">
      <w:pPr>
        <w:pStyle w:val="Prrafodelista"/>
        <w:spacing w:after="0" w:line="360" w:lineRule="auto"/>
        <w:ind w:left="360"/>
        <w:jc w:val="both"/>
        <w:rPr>
          <w:rFonts w:ascii="Palatino Linotype" w:hAnsi="Palatino Linotype" w:cs="Arial"/>
          <w:sz w:val="24"/>
          <w:szCs w:val="24"/>
        </w:rPr>
      </w:pPr>
    </w:p>
    <w:p w:rsidR="00117841" w:rsidRPr="00117841" w:rsidRDefault="0046491C" w:rsidP="00117841">
      <w:pPr>
        <w:spacing w:before="240" w:after="240" w:line="360" w:lineRule="auto"/>
        <w:ind w:left="851" w:right="616"/>
        <w:jc w:val="both"/>
        <w:rPr>
          <w:rFonts w:ascii="Palatino Linotype" w:hAnsi="Palatino Linotype"/>
          <w:i/>
        </w:rPr>
      </w:pPr>
      <w:r w:rsidRPr="00D33AF9">
        <w:rPr>
          <w:rFonts w:ascii="Palatino Linotype" w:hAnsi="Palatino Linotype" w:cs="Arial"/>
          <w:i/>
          <w:sz w:val="24"/>
          <w:szCs w:val="24"/>
        </w:rPr>
        <w:t>“</w:t>
      </w:r>
      <w:r w:rsidR="00117841" w:rsidRPr="00117841">
        <w:rPr>
          <w:rFonts w:ascii="Palatino Linotype" w:hAnsi="Palatino Linotype"/>
          <w:i/>
        </w:rPr>
        <w:t>Lo anterior es así, debido a que cuando el Recurrente impugna la respuesta del Sujeto Obligado,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rsidR="00117841" w:rsidRPr="00117841" w:rsidRDefault="00117841" w:rsidP="00117841">
      <w:pPr>
        <w:spacing w:before="240" w:after="240" w:line="360" w:lineRule="auto"/>
        <w:ind w:left="851" w:right="616"/>
        <w:jc w:val="both"/>
        <w:rPr>
          <w:rFonts w:ascii="Palatino Linotype" w:hAnsi="Palatino Linotype"/>
          <w:i/>
        </w:rPr>
      </w:pPr>
      <w:r w:rsidRPr="00117841">
        <w:rPr>
          <w:rFonts w:ascii="Palatino Linotype" w:hAnsi="Palatino Linotype"/>
          <w:i/>
        </w:rPr>
        <w:t>“</w:t>
      </w:r>
      <w:r w:rsidRPr="000F1C6B">
        <w:rPr>
          <w:rFonts w:ascii="Palatino Linotype" w:hAnsi="Palatino Linotype"/>
          <w:b/>
          <w:i/>
        </w:rPr>
        <w:t>REVISIÓN EN AMPARO. LOS RESOLUTIVOS NO COMBATIDOS DEBEN DECLARARSE FIRMES</w:t>
      </w:r>
      <w:r w:rsidRPr="00117841">
        <w:rPr>
          <w:rFonts w:ascii="Palatino Linotype" w:hAnsi="Palatino Linotype"/>
          <w:i/>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rsidR="00117841" w:rsidRPr="00117841" w:rsidRDefault="00117841" w:rsidP="00117841">
      <w:pPr>
        <w:spacing w:before="240" w:after="240" w:line="360" w:lineRule="auto"/>
        <w:ind w:left="851" w:right="616"/>
        <w:jc w:val="both"/>
        <w:rPr>
          <w:rFonts w:ascii="Palatino Linotype" w:hAnsi="Palatino Linotype"/>
          <w:i/>
        </w:rPr>
      </w:pPr>
      <w:r w:rsidRPr="00117841">
        <w:rPr>
          <w:rFonts w:ascii="Palatino Linotype" w:hAnsi="Palatino Linotype"/>
          <w:i/>
        </w:rPr>
        <w:lastRenderedPageBreak/>
        <w:t>Consecuentemente, se reitera que la parte de la solicitud que no fue impugnada debe declararse consentida por la Recurrente, toda vez que no se realizaron manifestaciones de inconformidad, por lo que no pueden producirse efectos jurídicos tendentes a revocar, confirmar o modificar el acto reclamado ya que se infiere un consentimiento del Recurrente ante la falta de impugnación eficaz. Sirve de sustento a lo anterior por analogía la tesis jurisprudencial número VI.3o.C. J/60, publicada en el Semanario Judicial de la Federación y su Gaceta bajo el número de registro 176,608 que a la letra dice:</w:t>
      </w:r>
    </w:p>
    <w:p w:rsidR="00117841" w:rsidRPr="00117841" w:rsidRDefault="00117841" w:rsidP="00117841">
      <w:pPr>
        <w:spacing w:before="240" w:after="240" w:line="360" w:lineRule="auto"/>
        <w:ind w:left="851" w:right="616"/>
        <w:jc w:val="both"/>
        <w:rPr>
          <w:rFonts w:ascii="Palatino Linotype" w:hAnsi="Palatino Linotype"/>
          <w:i/>
        </w:rPr>
      </w:pPr>
      <w:r w:rsidRPr="000F1C6B">
        <w:rPr>
          <w:rFonts w:ascii="Palatino Linotype" w:hAnsi="Palatino Linotype"/>
          <w:b/>
          <w:i/>
        </w:rPr>
        <w:t>“ACTOS CONSENTIDOS. SON LOS QUE NO SE IMPUGNAN MEDIANTE EL RECURSO IDÓNEO</w:t>
      </w:r>
      <w:r w:rsidRPr="00117841">
        <w:rPr>
          <w:rFonts w:ascii="Palatino Linotype" w:hAnsi="Palatino Linotype"/>
          <w:i/>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rsidR="0046491C" w:rsidRPr="00996597"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Derivado de lo transcrito con anterioridad, considero que la incorporación de dicho concepto en la resolución en comento resulta a todas luces innecesario y además no ha lugar a invocarlos en el derecho humano fundamental de acceder a la información pública gubernamental.</w:t>
      </w:r>
      <w:r w:rsidRPr="00D33AF9">
        <w:rPr>
          <w:rFonts w:ascii="Palatino Linotype" w:eastAsia="Calibri" w:hAnsi="Palatino Linotype" w:cs="Times New Roman"/>
          <w:sz w:val="24"/>
          <w:szCs w:val="24"/>
          <w:lang w:val="es-ES" w:eastAsia="es-ES"/>
        </w:rPr>
        <w:t xml:space="preserve"> Por lo que la mayoría consideró que la</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respuesta</w:t>
      </w:r>
      <w:r w:rsidR="004472A9">
        <w:rPr>
          <w:rFonts w:ascii="Palatino Linotype" w:eastAsia="Calibri" w:hAnsi="Palatino Linotype" w:cs="Times New Roman"/>
          <w:sz w:val="24"/>
          <w:szCs w:val="24"/>
          <w:lang w:val="es-ES" w:eastAsia="es-ES"/>
        </w:rPr>
        <w:t>s quedaron</w:t>
      </w:r>
      <w:r w:rsidRPr="00D33AF9">
        <w:rPr>
          <w:rFonts w:ascii="Palatino Linotype" w:eastAsia="Calibri" w:hAnsi="Palatino Linotype" w:cs="Times New Roman"/>
          <w:sz w:val="24"/>
          <w:szCs w:val="24"/>
          <w:lang w:val="es-ES" w:eastAsia="es-ES"/>
        </w:rPr>
        <w:t xml:space="preserve"> firme</w:t>
      </w:r>
      <w:r w:rsidR="004472A9">
        <w:rPr>
          <w:rFonts w:ascii="Palatino Linotype" w:eastAsia="Calibri" w:hAnsi="Palatino Linotype" w:cs="Times New Roman"/>
          <w:sz w:val="24"/>
          <w:szCs w:val="24"/>
          <w:lang w:val="es-ES" w:eastAsia="es-ES"/>
        </w:rPr>
        <w:t>s</w:t>
      </w:r>
      <w:r w:rsidRPr="00D33AF9">
        <w:rPr>
          <w:rFonts w:ascii="Palatino Linotype" w:eastAsia="Calibri" w:hAnsi="Palatino Linotype" w:cs="Times New Roman"/>
          <w:sz w:val="24"/>
          <w:szCs w:val="24"/>
          <w:lang w:val="es-ES" w:eastAsia="es-ES"/>
        </w:rPr>
        <w:t xml:space="preserve"> ante la falta de impugnación respecto al resto de los requerimientos que no fueron manifestados en el recurso de revisión. En el presente asunto que nos ocupa, es de señalar que del análisis hecho a la resolución en comento, no se discute que el </w:t>
      </w:r>
      <w:r w:rsidRPr="00D33AF9">
        <w:rPr>
          <w:rFonts w:ascii="Palatino Linotype" w:eastAsia="Calibri" w:hAnsi="Palatino Linotype" w:cs="Times New Roman"/>
          <w:b/>
          <w:sz w:val="24"/>
          <w:szCs w:val="24"/>
          <w:lang w:val="es-ES" w:eastAsia="es-ES"/>
        </w:rPr>
        <w:t>SUJETO OBLIGADO</w:t>
      </w:r>
      <w:r w:rsidRPr="00D33AF9">
        <w:rPr>
          <w:rFonts w:ascii="Palatino Linotype" w:eastAsia="Calibri" w:hAnsi="Palatino Linotype" w:cs="Times New Roman"/>
          <w:sz w:val="24"/>
          <w:szCs w:val="24"/>
          <w:lang w:val="es-ES" w:eastAsia="es-ES"/>
        </w:rPr>
        <w:t xml:space="preserve"> ha dado </w:t>
      </w:r>
      <w:r w:rsidRPr="00D33AF9">
        <w:rPr>
          <w:rFonts w:ascii="Palatino Linotype" w:eastAsia="Calibri" w:hAnsi="Palatino Linotype" w:cs="Times New Roman"/>
          <w:sz w:val="24"/>
          <w:szCs w:val="24"/>
          <w:lang w:val="es-ES" w:eastAsia="es-ES"/>
        </w:rPr>
        <w:lastRenderedPageBreak/>
        <w:t>respuesta a la solicitud de información que en lo particular nos ocupa, tan es así que la respuesta fue modificada, sin embargo, en el derecho de acceso a la información, considero, es innecesario señalar la figura de actos consentidos.</w:t>
      </w:r>
    </w:p>
    <w:p w:rsidR="0046491C" w:rsidRPr="00D12DE7" w:rsidRDefault="0046491C" w:rsidP="0046491C">
      <w:pPr>
        <w:pStyle w:val="Ttulo1"/>
        <w:numPr>
          <w:ilvl w:val="0"/>
          <w:numId w:val="12"/>
        </w:numPr>
        <w:rPr>
          <w:szCs w:val="24"/>
        </w:rPr>
      </w:pPr>
      <w:bookmarkStart w:id="3" w:name="_Toc523142193"/>
      <w:r w:rsidRPr="00D12DE7">
        <w:rPr>
          <w:szCs w:val="24"/>
        </w:rPr>
        <w:t>Los actos consentidos no deben invocarse en el derecho fundamental de acceder a la información pública gubernamental.</w:t>
      </w:r>
      <w:bookmarkEnd w:id="3"/>
    </w:p>
    <w:p w:rsidR="0046491C" w:rsidRDefault="0046491C" w:rsidP="0046491C">
      <w:pPr>
        <w:pStyle w:val="Prrafodelista"/>
        <w:spacing w:after="0" w:line="360" w:lineRule="auto"/>
        <w:ind w:left="1080"/>
        <w:jc w:val="both"/>
        <w:rPr>
          <w:rFonts w:ascii="Palatino Linotype" w:hAnsi="Palatino Linotype" w:cs="Arial"/>
          <w:b/>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En la resolución se precisa de manera amplia y solvente, un criterio adoptado en un procedimiento jurisdiccional sobre los actos consentidos. Al respecto estoy convencido de que la garantía constitucional que se desahoga ante esta autoridad corresponde a un procedimiento cuasi jurisdiccional que si bien reúne las formalidades básicas, que no todas, del primero, también resulta evidentemente más flexible, más laxo y pretende ser de mayor protección al derecho humano, por eso es que contamos con un sistema electrónico que asiste a la persona que realiza una solicitud o presenta un recurso de revisión, de tal forma que se pretende que ejerza sus derechos sin verse en la necesidad de </w:t>
      </w:r>
      <w:r w:rsidRPr="00D33AF9">
        <w:rPr>
          <w:rFonts w:ascii="Palatino Linotype" w:hAnsi="Palatino Linotype" w:cs="Arial"/>
          <w:b/>
          <w:sz w:val="24"/>
          <w:szCs w:val="24"/>
        </w:rPr>
        <w:t>acudir a un profesionista del derecho</w:t>
      </w:r>
      <w:r w:rsidRPr="00D33AF9">
        <w:rPr>
          <w:rFonts w:ascii="Palatino Linotype" w:hAnsi="Palatino Linotype" w:cs="Arial"/>
          <w:sz w:val="24"/>
          <w:szCs w:val="24"/>
        </w:rPr>
        <w:t xml:space="preserve"> para que le asista en la elaboración de su promoción; contrario a ello, nuestro sistema pretende asistirle y facilitarle el procedimiento, esa flexibilidad se vería seriamente comprometida si este órgano garante decide imponer las cargas formales del proceso jurisdiccional y, al mismo tiempo no asegura otros derechos, el de la defensa adecuada, por ejemplo, incumpliendo así con lo dispuesto en los artículos 74 de la Ley de Transparencia de Transparencia y Acceso a la Información Pública del Estado </w:t>
      </w:r>
      <w:r w:rsidRPr="00D33AF9">
        <w:rPr>
          <w:rFonts w:ascii="Palatino Linotype" w:hAnsi="Palatino Linotype" w:cs="Arial"/>
          <w:sz w:val="24"/>
          <w:szCs w:val="24"/>
        </w:rPr>
        <w:lastRenderedPageBreak/>
        <w:t>de México y Municipios y del 146 de la Ley General de Transparencia y Acceso a la Información Pública, que contemplan  la figura de la suplencia de la queja.</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La figura de la suplencia de la queja, para Héctor </w:t>
      </w:r>
      <w:proofErr w:type="spellStart"/>
      <w:r w:rsidRPr="00D33AF9">
        <w:rPr>
          <w:rFonts w:ascii="Palatino Linotype" w:hAnsi="Palatino Linotype" w:cs="Arial"/>
          <w:sz w:val="24"/>
          <w:szCs w:val="24"/>
        </w:rPr>
        <w:t>Fix</w:t>
      </w:r>
      <w:proofErr w:type="spellEnd"/>
      <w:r w:rsidRPr="00D33AF9">
        <w:rPr>
          <w:rFonts w:ascii="Palatino Linotype" w:hAnsi="Palatino Linotype" w:cs="Arial"/>
          <w:sz w:val="24"/>
          <w:szCs w:val="24"/>
        </w:rPr>
        <w:t xml:space="preserve"> </w:t>
      </w:r>
      <w:proofErr w:type="gramStart"/>
      <w:r w:rsidRPr="00D33AF9">
        <w:rPr>
          <w:rFonts w:ascii="Palatino Linotype" w:hAnsi="Palatino Linotype" w:cs="Arial"/>
          <w:sz w:val="24"/>
          <w:szCs w:val="24"/>
        </w:rPr>
        <w:t>Zamudio  “</w:t>
      </w:r>
      <w:proofErr w:type="gramEnd"/>
      <w:r w:rsidRPr="00D33AF9">
        <w:rPr>
          <w:rFonts w:ascii="Palatino Linotype" w:hAnsi="Palatino Linotype" w:cs="Arial"/>
          <w:sz w:val="24"/>
          <w:szCs w:val="24"/>
        </w:rPr>
        <w:t>…puede caracterizarse como el conjunto de atribuciones que se confieren al juez de amparo para corregir los errores o deficiencias en que incurran los reclamantes que, por su debilidad económica y cultural, carecen de un debido asesoramiento, y que puede expenderse, como ocurre en el proceso social agrario, a los diversos actos procesales de la parte débil incluyendo el ofrecimiento y desahogo de los medios de prueba”.</w:t>
      </w:r>
      <w:r w:rsidRPr="00D33AF9">
        <w:rPr>
          <w:rStyle w:val="Refdenotaalpie"/>
          <w:rFonts w:ascii="Palatino Linotype" w:hAnsi="Palatino Linotype" w:cs="Arial"/>
        </w:rPr>
        <w:footnoteReference w:id="1"/>
      </w:r>
      <w:r w:rsidRPr="00D33AF9">
        <w:rPr>
          <w:rFonts w:ascii="Palatino Linotype" w:hAnsi="Palatino Linotype" w:cs="Arial"/>
          <w:sz w:val="24"/>
          <w:szCs w:val="24"/>
        </w:rPr>
        <w:t xml:space="preserve"> Según este mismo autor, “…es siempre obligatoria… respecto de los errores o defectos de los conceptos de violación expresados en la demanda, así como los de los agravios formulados en los recursos que el mismo ordenamiento establece”.</w:t>
      </w:r>
      <w:r w:rsidRPr="00D33AF9">
        <w:rPr>
          <w:rStyle w:val="Refdenotaalpie"/>
          <w:rFonts w:ascii="Palatino Linotype" w:hAnsi="Palatino Linotype" w:cs="Arial"/>
        </w:rPr>
        <w:footnoteReference w:id="2"/>
      </w:r>
      <w:r w:rsidRPr="00D33AF9">
        <w:rPr>
          <w:rFonts w:ascii="Palatino Linotype" w:hAnsi="Palatino Linotype" w:cs="Arial"/>
          <w:sz w:val="24"/>
          <w:szCs w:val="24"/>
        </w:rPr>
        <w:t xml:space="preserve"> </w:t>
      </w:r>
    </w:p>
    <w:p w:rsidR="00EB0906" w:rsidRPr="00D33AF9" w:rsidRDefault="00EB0906" w:rsidP="00EB0906">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Además es necesario precisar que el presente es un procedimiento cuasi jurisdiccional porque no hay partes en conflicto, por lo tanto lo que este Órgano Garante realice en materia de suplencia de la queja no afecta la igualdad de las partes sino procura el cumplimiento de los deberes de protección del derecho humano a partir del criterio que más le favorezca.</w:t>
      </w:r>
    </w:p>
    <w:p w:rsidR="0046491C" w:rsidRPr="00D33AF9" w:rsidRDefault="0046491C" w:rsidP="0046491C">
      <w:pPr>
        <w:spacing w:after="0" w:line="360" w:lineRule="auto"/>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lastRenderedPageBreak/>
        <w:t xml:space="preserve"> No satisfecho con lo anterior, es necesario señalar que en materia del derecho de acceso a la información pública, tiene una justificación clara y precisa que se deriva de un aspecto de singular importancia, ya que lo que tratamos y pretendemos resolver consiste en el ejercicio de un derecho humano constitucional y convencionalmente reconocido. Por tanto, al tratar directamente con un derecho humano, todas las autoridades nos vemos impuestas del supremo mandato constitucional consistente en la promoción, respeto, protección y </w:t>
      </w:r>
      <w:r w:rsidRPr="00D33AF9">
        <w:rPr>
          <w:rFonts w:ascii="Palatino Linotype" w:hAnsi="Palatino Linotype" w:cs="Arial"/>
          <w:b/>
          <w:sz w:val="24"/>
          <w:szCs w:val="24"/>
        </w:rPr>
        <w:t>garantía de los derechos humanos</w:t>
      </w:r>
      <w:r w:rsidRPr="00D33AF9">
        <w:rPr>
          <w:rFonts w:ascii="Palatino Linotype" w:hAnsi="Palatino Linotype" w:cs="Arial"/>
          <w:sz w:val="24"/>
          <w:szCs w:val="24"/>
        </w:rPr>
        <w:t>, de tal forma que cualquier esfuerzo que se haga en el sentido de cumplir con dicho mandato no resulta ocioso ni sobra sino demuestra el grado de compromiso de la autoridad con este aspecto toral de la reforma constitucional del 10 de junio de 2011.</w:t>
      </w:r>
    </w:p>
    <w:p w:rsidR="00EB3B6B" w:rsidRPr="00EB3B6B" w:rsidRDefault="00EB3B6B" w:rsidP="00EB3B6B">
      <w:pPr>
        <w:pStyle w:val="Prrafodelista"/>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En este sentido el Dr. Miguel Carbonell ha señalado que:</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“Queda claro, en consecuencia, que las obligaciones de promoción, respeto, protección y garantía de los derechos corren a cargo de todos los poderes, incluso </w:t>
      </w:r>
      <w:r w:rsidRPr="00D33AF9">
        <w:rPr>
          <w:rFonts w:ascii="Palatino Linotype" w:hAnsi="Palatino Linotype" w:cs="Arial"/>
          <w:b/>
          <w:sz w:val="24"/>
          <w:szCs w:val="24"/>
        </w:rPr>
        <w:t>considerando que algún nivel de gobierno tenga obligaciones reforzadas hacia ciertos derechos.</w:t>
      </w:r>
      <w:r w:rsidRPr="00D33AF9">
        <w:rPr>
          <w:rFonts w:ascii="Palatino Linotype" w:hAnsi="Palatino Linotype" w:cs="Arial"/>
          <w:sz w:val="24"/>
          <w:szCs w:val="24"/>
        </w:rPr>
        <w:t xml:space="preserve"> A partir de tales deberes generales, podemos afirmar que las autoridades de todos los niveles de gobierno también tienen la obligación positiva de </w:t>
      </w:r>
      <w:r w:rsidRPr="00D33AF9">
        <w:rPr>
          <w:rFonts w:ascii="Palatino Linotype" w:hAnsi="Palatino Linotype" w:cs="Arial"/>
          <w:b/>
          <w:sz w:val="24"/>
          <w:szCs w:val="24"/>
        </w:rPr>
        <w:t>tomar todas las medidas que sean pertinentes para tutelar y hacer eficaz un derecho</w:t>
      </w:r>
      <w:r w:rsidRPr="00D33AF9">
        <w:rPr>
          <w:rFonts w:ascii="Palatino Linotype" w:hAnsi="Palatino Linotype" w:cs="Arial"/>
          <w:sz w:val="24"/>
          <w:szCs w:val="24"/>
        </w:rPr>
        <w:t>”.</w:t>
      </w:r>
      <w:r w:rsidRPr="00D33AF9">
        <w:rPr>
          <w:rStyle w:val="Refdenotaalpie"/>
          <w:rFonts w:ascii="Palatino Linotype" w:hAnsi="Palatino Linotype" w:cs="Arial"/>
        </w:rPr>
        <w:footnoteReference w:id="3"/>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Por lo que restringir el derecho de acceso a la información pública del particular</w:t>
      </w:r>
      <w:r w:rsidRPr="00D33AF9">
        <w:rPr>
          <w:rFonts w:ascii="Palatino Linotype" w:hAnsi="Palatino Linotype" w:cs="Arial"/>
          <w:b/>
          <w:sz w:val="24"/>
          <w:szCs w:val="24"/>
        </w:rPr>
        <w:t xml:space="preserve"> </w:t>
      </w:r>
      <w:r w:rsidRPr="00D33AF9">
        <w:rPr>
          <w:rFonts w:ascii="Palatino Linotype" w:hAnsi="Palatino Linotype" w:cs="Arial"/>
          <w:sz w:val="24"/>
          <w:szCs w:val="24"/>
        </w:rPr>
        <w:t>suponiendo en el peor de los casos, que en efecto, no se hubiera ordenado la información solicitada por no impugnar la falta de entrega de los documentos solicitados, debilita la efectividad de esta garantía al hacerla depender de un hecho desconocido y, por lo tanto de dudosa acreditación, además que se insiste fue en todo momento innecesario señalar el argumento de actos consentidos.</w:t>
      </w:r>
    </w:p>
    <w:p w:rsidR="0046491C" w:rsidRPr="00D33AF9" w:rsidRDefault="0046491C" w:rsidP="0046491C">
      <w:pPr>
        <w:pStyle w:val="Prrafodelista"/>
        <w:spacing w:after="0" w:line="360" w:lineRule="auto"/>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Enfrentar este silencio  u omisión de los particulares a inconformarse por algún punto o requerimiento de origen solicitado, cuando es evidente que no le fue entregada la información o satisfecho el derecho de acceso a la información pública con las formalidades del proceso jurisdiccional nos ubicaría en sentido contrario a la evolución experimentada por el Estado Mexicano con la trascendental reforma a la Constitución Federal del 10 de junio de 2011 en materia de derechos humanos, ya que con ella estamos dejando atrás al Estado de la Ley, en el que la regla se impone sobre el derecho y que coloca a conceptos como la seguridad jurídica en la base legitimadora de todo el sistema ya que como bien señala el Dr. Rodolfo Luis Vigo “La seguridad jurídica entendida como previsibilidad jurídica fundada en las normas generales reproducidas estrictamente por los jueces, o como el orden pacífico surgido del libre goce y disponibilidad de los derechos individuales, monopolizará el horizonte axiológico de los juristas decimonónicos”.</w:t>
      </w:r>
    </w:p>
    <w:p w:rsidR="0046491C" w:rsidRPr="00D33AF9" w:rsidRDefault="0046491C" w:rsidP="0046491C">
      <w:pPr>
        <w:pStyle w:val="Prrafodelista"/>
        <w:spacing w:line="360" w:lineRule="auto"/>
        <w:jc w:val="both"/>
        <w:rPr>
          <w:rFonts w:ascii="Palatino Linotype" w:hAnsi="Palatino Linotype" w:cs="Arial"/>
          <w:sz w:val="24"/>
          <w:szCs w:val="24"/>
        </w:rPr>
      </w:pPr>
    </w:p>
    <w:p w:rsidR="00007504"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07504">
        <w:rPr>
          <w:rFonts w:ascii="Palatino Linotype" w:hAnsi="Palatino Linotype" w:cs="Arial"/>
          <w:sz w:val="24"/>
          <w:szCs w:val="24"/>
        </w:rPr>
        <w:t xml:space="preserve">Frente a esa realidad pasada, la reforma citada nos ubica completamente en nuevas condiciones bajo los criterios del Estado Constitucional de Derecho que nos debe conducir a valorar, junto con Sergio </w:t>
      </w:r>
      <w:proofErr w:type="spellStart"/>
      <w:r w:rsidRPr="00007504">
        <w:rPr>
          <w:rFonts w:ascii="Palatino Linotype" w:hAnsi="Palatino Linotype" w:cs="Arial"/>
          <w:sz w:val="24"/>
          <w:szCs w:val="24"/>
        </w:rPr>
        <w:t>Cotta</w:t>
      </w:r>
      <w:proofErr w:type="spellEnd"/>
      <w:r w:rsidRPr="00007504">
        <w:rPr>
          <w:rFonts w:ascii="Palatino Linotype" w:hAnsi="Palatino Linotype" w:cs="Arial"/>
          <w:sz w:val="24"/>
          <w:szCs w:val="24"/>
        </w:rPr>
        <w:t xml:space="preserve"> que “la obligatoriedad de la norma depende de la validez de su justificación, que es, por consiguiente el fundamento de aquella”,</w:t>
      </w:r>
      <w:r w:rsidRPr="00D33AF9">
        <w:rPr>
          <w:rStyle w:val="Refdenotaalpie"/>
          <w:rFonts w:ascii="Palatino Linotype" w:hAnsi="Palatino Linotype" w:cs="Arial"/>
        </w:rPr>
        <w:footnoteReference w:id="4"/>
      </w:r>
      <w:r w:rsidRPr="00007504">
        <w:rPr>
          <w:rFonts w:ascii="Palatino Linotype" w:hAnsi="Palatino Linotype" w:cs="Arial"/>
          <w:sz w:val="24"/>
          <w:szCs w:val="24"/>
        </w:rPr>
        <w:t xml:space="preserve"> y no puede existir validez en la aplicación de un criterio que propicia una riesgosa afectación al derecho de acceso a la información.</w:t>
      </w:r>
    </w:p>
    <w:p w:rsidR="00AE1193" w:rsidRPr="00007504" w:rsidRDefault="00AE1193" w:rsidP="00AE1193">
      <w:pPr>
        <w:pStyle w:val="Prrafodelista"/>
        <w:spacing w:after="0" w:line="360" w:lineRule="auto"/>
        <w:ind w:left="426"/>
        <w:jc w:val="both"/>
        <w:rPr>
          <w:rFonts w:ascii="Palatino Linotype" w:hAnsi="Palatino Linotype" w:cs="Arial"/>
          <w:sz w:val="24"/>
          <w:szCs w:val="24"/>
        </w:rPr>
      </w:pPr>
    </w:p>
    <w:p w:rsidR="0046491C" w:rsidRPr="00D33AF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Mucho menos si consideramos el siguiente criterio: DERECHOS HUMANOS. OBLIGACIÓN DE PROTEGERLOS EN TÉRMINOS DEL ARTÍCULO 1o., PÁRRAFO TERCERO, DE LA CONSTITUCIÓN POLÍTICA DE LOS ESTADOS UNIDOS MEXICANOS. El párrafo tercero del artículo 1o. de la Constitución Política de los Estados Unidos Mexicanos dispone como obligaciones generales de las autoridades del Estado Mexicano las consistentes en: i) Respetar; ii) Proteger; iii) Garantizar; y, iv) Promover los derechos humanos, de conformidad con los principios rectores de universalidad, interdependencia, indivisibilidad y progresividad. De ahí que para determinar si una conducta específica de la autoridad importa violación a derechos fundamentales, debe evaluarse si se apega o no a la obligación de protegerlos. Ésta puede caracterizarse como </w:t>
      </w:r>
      <w:r w:rsidRPr="00D33AF9">
        <w:rPr>
          <w:rFonts w:ascii="Palatino Linotype" w:hAnsi="Palatino Linotype" w:cs="Arial"/>
          <w:b/>
          <w:sz w:val="24"/>
          <w:szCs w:val="24"/>
        </w:rPr>
        <w:t xml:space="preserve">el deber que tienen los órganos del Estado, dentro del margen de sus </w:t>
      </w:r>
      <w:r w:rsidRPr="00D33AF9">
        <w:rPr>
          <w:rFonts w:ascii="Palatino Linotype" w:hAnsi="Palatino Linotype" w:cs="Arial"/>
          <w:b/>
          <w:sz w:val="24"/>
          <w:szCs w:val="24"/>
        </w:rPr>
        <w:lastRenderedPageBreak/>
        <w:t>atribuciones, de prevenir violaciones a los derechos fundamentales,</w:t>
      </w:r>
      <w:r w:rsidRPr="00D33AF9">
        <w:rPr>
          <w:rFonts w:ascii="Palatino Linotype" w:hAnsi="Palatino Linotype" w:cs="Arial"/>
          <w:sz w:val="24"/>
          <w:szCs w:val="24"/>
        </w:rPr>
        <w:t xml:space="preserve"> ya sea que provengan de una autoridad o de algún particular y, por ello, </w:t>
      </w:r>
      <w:r w:rsidRPr="00D33AF9">
        <w:rPr>
          <w:rFonts w:ascii="Palatino Linotype" w:hAnsi="Palatino Linotype" w:cs="Arial"/>
          <w:b/>
          <w:sz w:val="24"/>
          <w:szCs w:val="24"/>
        </w:rPr>
        <w:t>debe contarse</w:t>
      </w:r>
      <w:r w:rsidRPr="00D33AF9">
        <w:rPr>
          <w:rFonts w:ascii="Palatino Linotype" w:hAnsi="Palatino Linotype" w:cs="Arial"/>
          <w:sz w:val="24"/>
          <w:szCs w:val="24"/>
        </w:rPr>
        <w:t xml:space="preserve"> tanto </w:t>
      </w:r>
      <w:r w:rsidRPr="00D33AF9">
        <w:rPr>
          <w:rFonts w:ascii="Palatino Linotype" w:hAnsi="Palatino Linotype" w:cs="Arial"/>
          <w:b/>
          <w:sz w:val="24"/>
          <w:szCs w:val="24"/>
        </w:rPr>
        <w:t>con mecanismos</w:t>
      </w:r>
      <w:r w:rsidRPr="00D33AF9">
        <w:rPr>
          <w:rFonts w:ascii="Palatino Linotype" w:hAnsi="Palatino Linotype" w:cs="Arial"/>
          <w:sz w:val="24"/>
          <w:szCs w:val="24"/>
        </w:rPr>
        <w:t xml:space="preserve"> de vigilancia como </w:t>
      </w:r>
      <w:r w:rsidRPr="00D33AF9">
        <w:rPr>
          <w:rFonts w:ascii="Palatino Linotype" w:hAnsi="Palatino Linotype" w:cs="Arial"/>
          <w:b/>
          <w:sz w:val="24"/>
          <w:szCs w:val="24"/>
        </w:rPr>
        <w:t>de reacción ante el riesgo de vulneración del derecho, de forma que se impida la consumación de la violación. En este último sentido, su cumplimiento es inmediatamente exigible, ya que como la conducta estatal debe encaminarse a resguardar a las personas de las interferencias a sus derechos provenientes de los propios agentes del Estado</w:t>
      </w:r>
      <w:r w:rsidRPr="00D33AF9">
        <w:rPr>
          <w:rFonts w:ascii="Palatino Linotype" w:hAnsi="Palatino Linotype" w:cs="Arial"/>
          <w:sz w:val="24"/>
          <w:szCs w:val="24"/>
        </w:rPr>
        <w:t xml:space="preserve"> como de otros particulares, este fin se logra, en principio, mediante la actividad legislativa y de vigilancia en su cumplimiento y, si esto es insuficiente, mediante las acciones necesarias para impedir la consumación de la violación a los derechos. De ahí que, una vez conocido el riesgo de vulneración a un derecho humano, el Estado incumple su obligación si no realiza acción alguna, sobre todo, porque, en el caso de sus propios agentes, está obligado a saber todo lo que hacen. [TA] Tesis: XXVII.3o.3 CS (10a.) Tribunales Colegiados de Circuito. Décima Época, Gaceta del Semanario Judicial de la Federación, Libro 11, </w:t>
      </w:r>
      <w:proofErr w:type="gramStart"/>
      <w:r w:rsidRPr="00D33AF9">
        <w:rPr>
          <w:rFonts w:ascii="Palatino Linotype" w:hAnsi="Palatino Linotype" w:cs="Arial"/>
          <w:sz w:val="24"/>
          <w:szCs w:val="24"/>
        </w:rPr>
        <w:t>Octubre</w:t>
      </w:r>
      <w:proofErr w:type="gramEnd"/>
      <w:r w:rsidRPr="00D33AF9">
        <w:rPr>
          <w:rFonts w:ascii="Palatino Linotype" w:hAnsi="Palatino Linotype" w:cs="Arial"/>
          <w:sz w:val="24"/>
          <w:szCs w:val="24"/>
        </w:rPr>
        <w:t xml:space="preserve"> de 2014, Tomo III, Página: 2840.</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DF6F7E">
        <w:rPr>
          <w:rFonts w:ascii="Palatino Linotype" w:hAnsi="Palatino Linotype" w:cs="Arial"/>
          <w:sz w:val="24"/>
          <w:szCs w:val="24"/>
        </w:rPr>
        <w:t xml:space="preserve"> Para el caso que nos ocupa y en general es innecesario incorporar en las resoluciones de un Órgano Garante como lo es el Instituto de Transparencia, Acceso a la Información Pública y Protección de Datos Personales del Estado de México y  Municipios a los actos consentidos  toda vez que los particulares al no impugnar alguno de los requerimientos solicitados, y de la respuesta ofrecida </w:t>
      </w:r>
      <w:r w:rsidRPr="00DF6F7E">
        <w:rPr>
          <w:rFonts w:ascii="Palatino Linotype" w:hAnsi="Palatino Linotype" w:cs="Arial"/>
          <w:sz w:val="24"/>
          <w:szCs w:val="24"/>
        </w:rPr>
        <w:lastRenderedPageBreak/>
        <w:t xml:space="preserve">por parte de los </w:t>
      </w:r>
      <w:r w:rsidRPr="00DF6F7E">
        <w:rPr>
          <w:rFonts w:ascii="Palatino Linotype" w:hAnsi="Palatino Linotype" w:cs="Arial"/>
          <w:b/>
          <w:sz w:val="24"/>
          <w:szCs w:val="24"/>
        </w:rPr>
        <w:t>SUJETOS OBLIGADOS</w:t>
      </w:r>
      <w:r w:rsidRPr="00DF6F7E">
        <w:rPr>
          <w:rFonts w:ascii="Palatino Linotype" w:hAnsi="Palatino Linotype" w:cs="Arial"/>
          <w:sz w:val="24"/>
          <w:szCs w:val="24"/>
        </w:rPr>
        <w:t xml:space="preserve"> sea evidente la falta de alguno de ellos, en ese tenor los particulares se ven impedidos, en los hechos, a acceder a una información que fue solicitada. Ante tales casos, considero, este Órgano Garante debe cumplir con las obligaciones señaladas en el párrafo tercero del artículo primero de la Constitución Federal, lo que es posible a través de la suplencia de la queja, instrumento adecuado para prevenir una posible vulneración al derecho de acceso a la información y que además se encuentra disponible para ser operado por esta autoridad.</w:t>
      </w:r>
    </w:p>
    <w:p w:rsidR="000F0579" w:rsidRPr="000F0579" w:rsidRDefault="000F0579" w:rsidP="000F0579">
      <w:pPr>
        <w:spacing w:after="0" w:line="360" w:lineRule="auto"/>
        <w:jc w:val="both"/>
        <w:rPr>
          <w:rFonts w:ascii="Palatino Linotype" w:hAnsi="Palatino Linotype" w:cs="Arial"/>
          <w:sz w:val="24"/>
          <w:szCs w:val="24"/>
        </w:rPr>
      </w:pPr>
    </w:p>
    <w:p w:rsidR="00BE3B45" w:rsidRPr="000F0579" w:rsidRDefault="0046491C" w:rsidP="000F0579">
      <w:pPr>
        <w:pStyle w:val="Prrafodelista"/>
        <w:numPr>
          <w:ilvl w:val="0"/>
          <w:numId w:val="1"/>
        </w:numPr>
        <w:spacing w:after="0" w:line="360" w:lineRule="auto"/>
        <w:ind w:left="426"/>
        <w:jc w:val="both"/>
        <w:rPr>
          <w:rFonts w:ascii="Palatino Linotype" w:hAnsi="Palatino Linotype" w:cs="Arial"/>
          <w:sz w:val="24"/>
          <w:szCs w:val="24"/>
        </w:rPr>
      </w:pPr>
      <w:r w:rsidRPr="000F0579">
        <w:rPr>
          <w:rFonts w:ascii="Palatino Linotype" w:hAnsi="Palatino Linotype" w:cs="Arial"/>
          <w:sz w:val="24"/>
          <w:szCs w:val="24"/>
        </w:rPr>
        <w:t xml:space="preserve">Pero además, la figura de la suplencia de la queja es central para apreciar la verdadera fuerza de los derechos humanos, entre ellos el de acceso a la información, que demandan una actuación clara, contundente y eficaz por parte de todas las autoridades, en el que ya no resultan admisibles las excusas de </w:t>
      </w:r>
      <w:r w:rsidR="00996597" w:rsidRPr="000F0579">
        <w:rPr>
          <w:rFonts w:ascii="Palatino Linotype" w:hAnsi="Palatino Linotype" w:cs="Arial"/>
          <w:sz w:val="24"/>
          <w:szCs w:val="24"/>
        </w:rPr>
        <w:t>procedencia</w:t>
      </w:r>
      <w:r w:rsidRPr="000F0579">
        <w:rPr>
          <w:rFonts w:ascii="Palatino Linotype" w:hAnsi="Palatino Linotype" w:cs="Arial"/>
          <w:sz w:val="24"/>
          <w:szCs w:val="24"/>
        </w:rPr>
        <w:t>, ya que en todo momento nos encontramos ante un derecho más alto que, puede considerarse en los siguientes términos:</w:t>
      </w:r>
    </w:p>
    <w:p w:rsidR="00BE3B45" w:rsidRPr="00007504" w:rsidRDefault="00BE3B45" w:rsidP="00BE3B45">
      <w:pPr>
        <w:pStyle w:val="Prrafodelista"/>
        <w:spacing w:after="0" w:line="360" w:lineRule="auto"/>
        <w:ind w:left="360"/>
        <w:jc w:val="both"/>
        <w:rPr>
          <w:rFonts w:ascii="Palatino Linotype" w:hAnsi="Palatino Linotype" w:cs="Arial"/>
          <w:sz w:val="24"/>
          <w:szCs w:val="24"/>
        </w:rPr>
      </w:pPr>
    </w:p>
    <w:p w:rsidR="0046491C" w:rsidRPr="00D33AF9" w:rsidRDefault="0046491C" w:rsidP="00D33AF9">
      <w:pPr>
        <w:spacing w:after="0" w:line="240" w:lineRule="auto"/>
        <w:ind w:left="1134" w:right="618"/>
        <w:jc w:val="both"/>
        <w:rPr>
          <w:rFonts w:ascii="Palatino Linotype" w:hAnsi="Palatino Linotype" w:cs="Arial"/>
          <w:i/>
          <w:sz w:val="24"/>
          <w:szCs w:val="24"/>
        </w:rPr>
      </w:pPr>
      <w:r w:rsidRPr="00D33AF9">
        <w:rPr>
          <w:rFonts w:ascii="Palatino Linotype" w:hAnsi="Palatino Linotype" w:cs="Arial"/>
          <w:i/>
          <w:sz w:val="24"/>
          <w:szCs w:val="24"/>
        </w:rPr>
        <w:t xml:space="preserve">“Las Constituciones contemporáneas intentan poner remedio a estos efectos destructivos del orden jurídico mediante la previsión de un derecho más alto, dotado de fuerza obligatoria incluso para el legislador. El objetivo es condicionar y, por tanto, contener, orientándolos, los desarrollos contradictorios de la producción del derecho, generados por la heterogeneidad y </w:t>
      </w:r>
      <w:proofErr w:type="spellStart"/>
      <w:r w:rsidRPr="00D33AF9">
        <w:rPr>
          <w:rFonts w:ascii="Palatino Linotype" w:hAnsi="Palatino Linotype" w:cs="Arial"/>
          <w:i/>
          <w:sz w:val="24"/>
          <w:szCs w:val="24"/>
        </w:rPr>
        <w:t>ocasionalidad</w:t>
      </w:r>
      <w:proofErr w:type="spellEnd"/>
      <w:r w:rsidRPr="00D33AF9">
        <w:rPr>
          <w:rFonts w:ascii="Palatino Linotype" w:hAnsi="Palatino Linotype" w:cs="Arial"/>
          <w:i/>
          <w:sz w:val="24"/>
          <w:szCs w:val="24"/>
        </w:rPr>
        <w:t xml:space="preserve"> de las presiones sociales que se ejercen sobre el mismo”.</w:t>
      </w:r>
      <w:r w:rsidRPr="00D33AF9">
        <w:rPr>
          <w:rStyle w:val="Refdenotaalpie"/>
          <w:rFonts w:ascii="Palatino Linotype" w:hAnsi="Palatino Linotype" w:cs="Arial"/>
          <w:i/>
        </w:rPr>
        <w:footnoteReference w:id="5"/>
      </w:r>
    </w:p>
    <w:p w:rsidR="0046491C" w:rsidRPr="00D33AF9" w:rsidRDefault="0046491C" w:rsidP="0046491C">
      <w:pPr>
        <w:spacing w:after="0" w:line="360" w:lineRule="auto"/>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 Por lo tanto, frente a ese derecho más alto, los argumentos formales deben ser derrotados por la obligación que el legislador ordinario nos ha impuesto para asegurar la efectiva protección del derecho en cuestión a través del ejercicio de la figura de la suplencia de la queja, con lo que se pretende asegurar una efectiva protección. Declinar esa obligación por la experiencia pasada nos aleja del mandato constitucional y pretende otorgar plena certeza a la presunción de que la solicitud ha sido atendida, lo que de no ser así, afecta el derecho humano.</w:t>
      </w:r>
    </w:p>
    <w:p w:rsidR="0046491C" w:rsidRPr="00D33AF9" w:rsidRDefault="0046491C" w:rsidP="0046491C">
      <w:pPr>
        <w:pStyle w:val="Prrafodelista"/>
        <w:spacing w:after="0" w:line="360" w:lineRule="auto"/>
        <w:ind w:left="426"/>
        <w:jc w:val="both"/>
        <w:rPr>
          <w:rFonts w:ascii="Palatino Linotype" w:hAnsi="Palatino Linotype" w:cs="Arial"/>
          <w:sz w:val="24"/>
          <w:szCs w:val="24"/>
        </w:rPr>
      </w:pPr>
    </w:p>
    <w:p w:rsidR="0046491C" w:rsidRPr="00D33AF9" w:rsidRDefault="0046491C" w:rsidP="00547195">
      <w:pPr>
        <w:pStyle w:val="Prrafodelista"/>
        <w:numPr>
          <w:ilvl w:val="0"/>
          <w:numId w:val="1"/>
        </w:numPr>
        <w:spacing w:after="0" w:line="360" w:lineRule="auto"/>
        <w:ind w:left="426"/>
        <w:jc w:val="both"/>
        <w:rPr>
          <w:rFonts w:ascii="Palatino Linotype" w:hAnsi="Palatino Linotype" w:cs="Arial"/>
          <w:sz w:val="24"/>
          <w:szCs w:val="24"/>
        </w:rPr>
      </w:pPr>
      <w:r w:rsidRPr="00D33AF9">
        <w:rPr>
          <w:rFonts w:ascii="Palatino Linotype" w:hAnsi="Palatino Linotype" w:cs="Arial"/>
          <w:sz w:val="24"/>
          <w:szCs w:val="24"/>
        </w:rPr>
        <w:t xml:space="preserve">Considero que no se justifica el argumento que se ha señalado en múltiples ocasiones y que comparte la mayoría en relación a “si no ésta expresa razón o motivo de inconformidad en contra de todos los rubros solicitados, dichos rubros deben declararse atendidos, pues se infiere que el recurrente ésta conforme con la información entregada al no contravenir la misma”. Este Órgano Garante debe revisar en forma minuciosa en todos los casos, si se le entregó a los peticionarios todos y cada uno de los puntos que fueron solicitados, de esta forma se podrá verificar si el particular no se inconforma porque en efecto le han sido colmadas sus peticiones y por ello se tiene por satisfecho el Derecho de Acceder a la Información Pública, o bien, no le han sido colmados todos sus requerimientos y omite manifestarse al respecto, por diversos factores que a su alrededor ocurran y le puedan afectar. Además de ser un Órgano Garante, somos un Órgano Revisor y en ese sentido no podemos pasar </w:t>
      </w:r>
      <w:r w:rsidRPr="00D33AF9">
        <w:rPr>
          <w:rFonts w:ascii="Palatino Linotype" w:hAnsi="Palatino Linotype" w:cs="Arial"/>
          <w:sz w:val="24"/>
          <w:szCs w:val="24"/>
        </w:rPr>
        <w:lastRenderedPageBreak/>
        <w:t>inadvertido el hecho de no analizar la totalidad de requerimientos solicitados cuando no se pronuncien al respecto, cuando sea evidente que no han sido colmados, en ese sentido no estaríamos garantizando el derecho fundamental.</w:t>
      </w:r>
    </w:p>
    <w:p w:rsidR="00DF6F7E" w:rsidRPr="00D33AF9" w:rsidRDefault="00DF6F7E" w:rsidP="0046491C">
      <w:pPr>
        <w:pStyle w:val="Prrafodelista"/>
        <w:spacing w:line="360" w:lineRule="auto"/>
        <w:jc w:val="both"/>
        <w:rPr>
          <w:rFonts w:ascii="Palatino Linotype" w:hAnsi="Palatino Linotype" w:cs="Arial"/>
          <w:sz w:val="24"/>
          <w:szCs w:val="24"/>
        </w:rPr>
      </w:pPr>
    </w:p>
    <w:p w:rsidR="0046491C" w:rsidRPr="00456B87" w:rsidRDefault="0046491C" w:rsidP="00547195">
      <w:pPr>
        <w:pStyle w:val="Prrafodelista"/>
        <w:numPr>
          <w:ilvl w:val="0"/>
          <w:numId w:val="1"/>
        </w:numPr>
        <w:spacing w:after="0" w:line="360" w:lineRule="auto"/>
        <w:ind w:left="426"/>
        <w:jc w:val="both"/>
        <w:rPr>
          <w:rFonts w:ascii="Palatino Linotype" w:hAnsi="Palatino Linotype"/>
          <w:sz w:val="24"/>
          <w:szCs w:val="24"/>
        </w:rPr>
      </w:pPr>
      <w:r w:rsidRPr="00EB3B6B">
        <w:rPr>
          <w:rFonts w:ascii="Palatino Linotype" w:hAnsi="Palatino Linotype" w:cs="Arial"/>
          <w:sz w:val="24"/>
          <w:szCs w:val="24"/>
        </w:rPr>
        <w:t xml:space="preserve">Adoptar la posición que propongo pretende ordenar un acto de plena certeza, el que siempre puede ser matizado por un “en su caso” que restringe la medida ordenada a que ésta no se haya realizado ya, lo que puede constituir un exceso, cierto, pero a todas luces admisible en materia de protección del derecho humano lo que, considero, fortalece al Estado Constitucional de Derecho, en lugar de vulnerarlo. </w:t>
      </w:r>
    </w:p>
    <w:p w:rsidR="00456B87" w:rsidRPr="00456B87" w:rsidRDefault="00456B87" w:rsidP="00456B87">
      <w:pPr>
        <w:pStyle w:val="Prrafodelista"/>
        <w:rPr>
          <w:rFonts w:ascii="Palatino Linotype" w:hAnsi="Palatino Linotype"/>
          <w:sz w:val="24"/>
          <w:szCs w:val="24"/>
        </w:rPr>
      </w:pPr>
    </w:p>
    <w:p w:rsidR="00456B87" w:rsidRDefault="00456B87" w:rsidP="00547195">
      <w:pPr>
        <w:pStyle w:val="Prrafodelista"/>
        <w:numPr>
          <w:ilvl w:val="0"/>
          <w:numId w:val="1"/>
        </w:numPr>
        <w:spacing w:after="0" w:line="360" w:lineRule="auto"/>
        <w:ind w:left="426"/>
        <w:jc w:val="both"/>
        <w:rPr>
          <w:rFonts w:ascii="Palatino Linotype" w:hAnsi="Palatino Linotype"/>
          <w:sz w:val="24"/>
          <w:szCs w:val="24"/>
        </w:rPr>
      </w:pPr>
      <w:r>
        <w:rPr>
          <w:rFonts w:ascii="Palatino Linotype" w:hAnsi="Palatino Linotype"/>
          <w:sz w:val="24"/>
          <w:szCs w:val="24"/>
        </w:rPr>
        <w:t xml:space="preserve">Po otro lado, esta ponencia observó que la resolución puntualmente indica lo siguiente: </w:t>
      </w:r>
    </w:p>
    <w:p w:rsidR="00456B87" w:rsidRPr="00117841" w:rsidRDefault="00456B87" w:rsidP="00456B87">
      <w:pPr>
        <w:pStyle w:val="Prrafodelista"/>
        <w:spacing w:after="0" w:line="240" w:lineRule="auto"/>
        <w:ind w:left="1647" w:right="616"/>
        <w:jc w:val="both"/>
        <w:rPr>
          <w:rFonts w:ascii="Palatino Linotype" w:hAnsi="Palatino Linotype" w:cs="Arial"/>
          <w:b/>
          <w:bCs/>
          <w:i/>
          <w:shd w:val="clear" w:color="auto" w:fill="FFFFFF"/>
        </w:rPr>
      </w:pPr>
      <w:r>
        <w:rPr>
          <w:rFonts w:ascii="Palatino Linotype" w:hAnsi="Palatino Linotype" w:cs="Arial"/>
          <w:b/>
          <w:bCs/>
          <w:i/>
          <w:shd w:val="clear" w:color="auto" w:fill="FFFFFF"/>
        </w:rPr>
        <w:t>“</w:t>
      </w:r>
      <w:r w:rsidRPr="00117841">
        <w:rPr>
          <w:rFonts w:ascii="Palatino Linotype" w:hAnsi="Palatino Linotype" w:cs="Arial"/>
          <w:b/>
          <w:bCs/>
          <w:i/>
          <w:shd w:val="clear" w:color="auto" w:fill="FFFFFF"/>
        </w:rPr>
        <w:t>Para el caso de no contar con la información que se ordena, bastará con que se pronuncie en tal sentido.”</w:t>
      </w:r>
    </w:p>
    <w:p w:rsidR="00456B87" w:rsidRPr="00117841" w:rsidRDefault="00456B87" w:rsidP="00456B87">
      <w:pPr>
        <w:pStyle w:val="Prrafodelista"/>
        <w:spacing w:before="240" w:after="240" w:line="360" w:lineRule="auto"/>
        <w:ind w:left="360" w:right="49"/>
        <w:jc w:val="both"/>
        <w:rPr>
          <w:rFonts w:ascii="Palatino Linotype" w:hAnsi="Palatino Linotype" w:cs="Arial"/>
          <w:b/>
          <w:i/>
          <w:sz w:val="24"/>
          <w:szCs w:val="24"/>
        </w:rPr>
      </w:pPr>
    </w:p>
    <w:p w:rsidR="00232B6D" w:rsidRPr="00C602B8" w:rsidRDefault="00232B6D" w:rsidP="00232B6D">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manifestó al respecto enfatizando que en </w:t>
      </w:r>
      <w:r w:rsidRPr="008216B4">
        <w:rPr>
          <w:rFonts w:ascii="Palatino Linotype" w:eastAsia="Times New Roman" w:hAnsi="Palatino Linotype" w:cs="Arial"/>
          <w:sz w:val="24"/>
        </w:rPr>
        <w:t xml:space="preserve">el caso de que el </w:t>
      </w:r>
      <w:r w:rsidRPr="008216B4">
        <w:rPr>
          <w:rFonts w:ascii="Palatino Linotype" w:eastAsia="Times New Roman" w:hAnsi="Palatino Linotype" w:cs="Arial"/>
          <w:b/>
          <w:sz w:val="24"/>
        </w:rPr>
        <w:t xml:space="preserve">SUJETO OBLIGADO </w:t>
      </w:r>
      <w:r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Pr="008216B4">
        <w:rPr>
          <w:rFonts w:ascii="Palatino Linotype" w:eastAsia="Times New Roman" w:hAnsi="Palatino Linotype" w:cs="Arial"/>
          <w:sz w:val="24"/>
        </w:rPr>
        <w:t xml:space="preserve"> bastará c</w:t>
      </w:r>
      <w:r>
        <w:rPr>
          <w:rFonts w:ascii="Palatino Linotype" w:eastAsia="Times New Roman" w:hAnsi="Palatino Linotype" w:cs="Arial"/>
          <w:sz w:val="24"/>
        </w:rPr>
        <w:t>on que se pronuncie</w:t>
      </w:r>
      <w:r w:rsidRPr="008216B4">
        <w:rPr>
          <w:rFonts w:ascii="Palatino Linotype" w:eastAsia="Times New Roman" w:hAnsi="Palatino Linotype" w:cs="Arial"/>
          <w:sz w:val="24"/>
        </w:rPr>
        <w:t xml:space="preserve"> al respecto </w:t>
      </w:r>
      <w:r>
        <w:rPr>
          <w:rFonts w:ascii="Palatino Linotype" w:eastAsia="Times New Roman" w:hAnsi="Palatino Linotype" w:cs="Arial"/>
          <w:sz w:val="24"/>
        </w:rPr>
        <w:t>y lo haga del conocimiento del particular.</w:t>
      </w: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en cuestión debe de demostrar q</w:t>
      </w:r>
      <w:r>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Pr>
          <w:rFonts w:ascii="Palatino Linotype" w:eastAsia="Calibri" w:hAnsi="Palatino Linotype" w:cs="Arial"/>
          <w:sz w:val="24"/>
          <w:szCs w:val="24"/>
        </w:rPr>
        <w:t xml:space="preserve">ción que requiere el particular, debiendo motivar su respuesta en función de las causas que hayan generado tales circunstancias. </w:t>
      </w:r>
    </w:p>
    <w:p w:rsidR="00232B6D" w:rsidRDefault="00232B6D" w:rsidP="00232B6D">
      <w:pPr>
        <w:pStyle w:val="Ttulo2"/>
        <w:rPr>
          <w:b/>
          <w:szCs w:val="24"/>
        </w:rPr>
      </w:pPr>
      <w:bookmarkStart w:id="4" w:name="_Toc469919070"/>
      <w:bookmarkStart w:id="5" w:name="_Toc521923718"/>
    </w:p>
    <w:p w:rsidR="00232B6D" w:rsidRPr="00427B79" w:rsidRDefault="00232B6D" w:rsidP="00232B6D">
      <w:pPr>
        <w:pStyle w:val="Ttulo1"/>
        <w:rPr>
          <w:b w:val="0"/>
        </w:rPr>
      </w:pPr>
      <w:bookmarkStart w:id="6" w:name="_Toc523142194"/>
      <w:r w:rsidRPr="00427B79">
        <w:t>I</w:t>
      </w:r>
      <w:r>
        <w:t>V</w:t>
      </w:r>
      <w:r w:rsidRPr="00427B79">
        <w:t>. Del Derecho de Acceso a la información pública y el deber de motivar.</w:t>
      </w:r>
      <w:bookmarkEnd w:id="4"/>
      <w:bookmarkEnd w:id="5"/>
      <w:bookmarkEnd w:id="6"/>
    </w:p>
    <w:p w:rsidR="00232B6D" w:rsidRPr="00427B79" w:rsidRDefault="00232B6D" w:rsidP="00232B6D">
      <w:pPr>
        <w:pStyle w:val="Prrafodelista"/>
        <w:spacing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232B6D" w:rsidRPr="00427B79" w:rsidRDefault="00232B6D" w:rsidP="00232B6D">
      <w:pPr>
        <w:pStyle w:val="Prrafodelista"/>
        <w:spacing w:after="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232B6D" w:rsidRPr="00427B79" w:rsidRDefault="00232B6D" w:rsidP="00232B6D">
      <w:pPr>
        <w:pStyle w:val="Prrafodelista"/>
        <w:spacing w:before="240" w:after="240" w:line="360" w:lineRule="auto"/>
        <w:ind w:left="851"/>
        <w:jc w:val="both"/>
        <w:rPr>
          <w:rFonts w:ascii="Palatino Linotype" w:hAnsi="Palatino Linotype" w:cs="Arial"/>
          <w:sz w:val="24"/>
          <w:szCs w:val="24"/>
        </w:rPr>
      </w:pP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Otorga a todos los documentos en posesión de las autoridades la calidad de públicos y únicamente pueden ser reservados temporalmente por razones de interés público y en los términos expresamente señalados en la ley.</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232B6D" w:rsidRPr="00427B79" w:rsidRDefault="00232B6D" w:rsidP="00232B6D">
      <w:pPr>
        <w:pStyle w:val="Prrafodelista"/>
        <w:numPr>
          <w:ilvl w:val="0"/>
          <w:numId w:val="17"/>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el</w:t>
      </w:r>
      <w:r w:rsidRPr="00427B79">
        <w:rPr>
          <w:rFonts w:ascii="Palatino Linotype" w:hAnsi="Palatino Linotype"/>
          <w:bCs/>
          <w:color w:val="000000" w:themeColor="text1"/>
          <w:sz w:val="24"/>
          <w:szCs w:val="24"/>
        </w:rPr>
        <w:t xml:space="preserve"> </w:t>
      </w:r>
      <w:hyperlink r:id="rId7"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232B6D" w:rsidRPr="00427B79" w:rsidRDefault="00232B6D" w:rsidP="00232B6D">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232B6D"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Es necesario precisar que la transparencia es un principio jurídico que se concreta especialmente en el derecho fundamental de acceder a la información pública y que la aplicación del principio de transparencia y el respeto y garantía del </w:t>
      </w:r>
      <w:r w:rsidRPr="00427B79">
        <w:rPr>
          <w:rFonts w:ascii="Palatino Linotype" w:hAnsi="Palatino Linotype"/>
          <w:sz w:val="24"/>
          <w:szCs w:val="24"/>
        </w:rPr>
        <w:lastRenderedPageBreak/>
        <w:t>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232B6D" w:rsidRPr="00232B6D" w:rsidRDefault="00232B6D" w:rsidP="00232B6D">
      <w:pPr>
        <w:pStyle w:val="Prrafodelista"/>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 xml:space="preserve">La Constitución Política de los Estados Unidos Mexicanos, adopta la </w:t>
      </w:r>
      <w:r w:rsidRPr="00427B79">
        <w:rPr>
          <w:rFonts w:ascii="Palatino Linotype" w:hAnsi="Palatino Linotype"/>
          <w:i/>
          <w:sz w:val="24"/>
          <w:szCs w:val="24"/>
        </w:rPr>
        <w:t xml:space="preserve">ratio </w:t>
      </w:r>
      <w:proofErr w:type="spellStart"/>
      <w:r w:rsidRPr="00427B79">
        <w:rPr>
          <w:rFonts w:ascii="Palatino Linotype" w:hAnsi="Palatino Linotype"/>
          <w:i/>
          <w:sz w:val="24"/>
          <w:szCs w:val="24"/>
        </w:rPr>
        <w:t>decidendi</w:t>
      </w:r>
      <w:proofErr w:type="spellEnd"/>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estas razones las leyes de transparencia y acceso a la información en México, tienen como objetivo primordial el garantizar que los ciudadanos puedan solicitar documentos que poseen las instituciones gubernamentales.</w:t>
      </w:r>
    </w:p>
    <w:p w:rsidR="00232B6D" w:rsidRPr="00427B79" w:rsidRDefault="00232B6D" w:rsidP="00232B6D">
      <w:pPr>
        <w:pStyle w:val="Prrafodelista"/>
        <w:spacing w:before="240" w:after="240" w:line="360" w:lineRule="auto"/>
        <w:ind w:left="0"/>
        <w:jc w:val="both"/>
        <w:rPr>
          <w:rFonts w:ascii="Palatino Linotype" w:hAnsi="Palatino Linotype" w:cs="Arial"/>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232B6D" w:rsidRPr="00D35B4C" w:rsidRDefault="00232B6D" w:rsidP="00232B6D">
      <w:pPr>
        <w:pStyle w:val="Prrafodelista"/>
        <w:spacing w:before="240" w:after="240" w:line="360" w:lineRule="auto"/>
        <w:ind w:left="0"/>
        <w:jc w:val="both"/>
        <w:rPr>
          <w:rFonts w:ascii="Palatino Linotype" w:hAnsi="Palatino Linotype" w:cs="Arial"/>
          <w:sz w:val="24"/>
          <w:szCs w:val="24"/>
        </w:rPr>
      </w:pPr>
    </w:p>
    <w:p w:rsidR="00232B6D" w:rsidRPr="00D35B4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 xml:space="preserve">preservar sus documentos en archivos administrativos actualizados y publicarán a través de </w:t>
      </w:r>
      <w:r w:rsidRPr="00D35B4C">
        <w:rPr>
          <w:rFonts w:ascii="Palatino Linotype" w:hAnsi="Palatino Linotype"/>
          <w:bCs/>
          <w:color w:val="000000" w:themeColor="text1"/>
          <w:sz w:val="24"/>
          <w:szCs w:val="24"/>
        </w:rPr>
        <w:lastRenderedPageBreak/>
        <w:t>los medios electrónicos disponibles, la información que posean generen o administren de forma completa y actualizada.</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427B79" w:rsidRDefault="00232B6D" w:rsidP="00232B6D">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y entregarla al particular ya no cabe la manifestación simple y llana, sino que se deben observar dos puntos importantes:</w:t>
      </w:r>
    </w:p>
    <w:p w:rsidR="00232B6D" w:rsidRPr="00427B79" w:rsidRDefault="00232B6D" w:rsidP="00232B6D">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232B6D" w:rsidRPr="00D35B4C" w:rsidRDefault="00232B6D" w:rsidP="00232B6D">
      <w:pPr>
        <w:pStyle w:val="Prrafodelista"/>
        <w:spacing w:before="240" w:after="240" w:line="360" w:lineRule="auto"/>
        <w:ind w:left="567" w:right="616"/>
        <w:jc w:val="both"/>
        <w:rPr>
          <w:rFonts w:ascii="Palatino Linotype" w:hAnsi="Palatino Linotype"/>
          <w:bCs/>
          <w:color w:val="000000" w:themeColor="text1"/>
          <w:sz w:val="24"/>
          <w:szCs w:val="24"/>
        </w:rPr>
      </w:pPr>
    </w:p>
    <w:p w:rsidR="00232B6D" w:rsidRPr="00D35B4C" w:rsidRDefault="00232B6D" w:rsidP="00232B6D">
      <w:pPr>
        <w:pStyle w:val="Prrafodelista"/>
        <w:numPr>
          <w:ilvl w:val="0"/>
          <w:numId w:val="18"/>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232B6D" w:rsidRPr="00427B79" w:rsidRDefault="00232B6D" w:rsidP="00232B6D">
      <w:pPr>
        <w:pStyle w:val="Prrafodelista"/>
        <w:spacing w:before="240" w:after="240" w:line="360" w:lineRule="auto"/>
        <w:ind w:left="0"/>
        <w:jc w:val="both"/>
        <w:rPr>
          <w:rFonts w:ascii="Palatino Linotype" w:hAnsi="Palatino Linotype"/>
          <w:sz w:val="24"/>
          <w:szCs w:val="24"/>
          <w:highlight w:val="lightGray"/>
        </w:rPr>
      </w:pPr>
    </w:p>
    <w:p w:rsidR="00232B6D" w:rsidRPr="009A706C" w:rsidRDefault="00232B6D" w:rsidP="00232B6D">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Pr>
          <w:rFonts w:ascii="Palatino Linotype" w:hAnsi="Palatino Linotype" w:cs="Arial"/>
          <w:sz w:val="24"/>
          <w:szCs w:val="24"/>
        </w:rPr>
        <w:t>y me permito manifestar lo siguiente en el presente voto particular:</w:t>
      </w:r>
    </w:p>
    <w:p w:rsidR="00232B6D" w:rsidRPr="00427B79" w:rsidRDefault="00232B6D" w:rsidP="00232B6D">
      <w:pPr>
        <w:pStyle w:val="Ttulo1"/>
        <w:rPr>
          <w:rFonts w:eastAsia="Calibri"/>
          <w:b w:val="0"/>
          <w:szCs w:val="24"/>
        </w:rPr>
      </w:pPr>
      <w:bookmarkStart w:id="7" w:name="_Toc521923719"/>
      <w:bookmarkStart w:id="8" w:name="_Toc523142195"/>
      <w:r>
        <w:rPr>
          <w:rFonts w:eastAsia="Calibri"/>
          <w:szCs w:val="24"/>
        </w:rPr>
        <w:t xml:space="preserve">V. </w:t>
      </w:r>
      <w:r w:rsidRPr="00427B79">
        <w:rPr>
          <w:rFonts w:eastAsia="Calibri"/>
          <w:szCs w:val="24"/>
        </w:rPr>
        <w:t>Del Pronunciamiento simple</w:t>
      </w:r>
      <w:bookmarkEnd w:id="7"/>
      <w:bookmarkEnd w:id="8"/>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232B6D" w:rsidRPr="00427B79" w:rsidRDefault="00232B6D" w:rsidP="00232B6D">
      <w:pPr>
        <w:spacing w:after="0" w:line="360" w:lineRule="auto"/>
        <w:ind w:right="618"/>
        <w:contextualSpacing/>
        <w:jc w:val="both"/>
        <w:rPr>
          <w:rFonts w:ascii="Palatino Linotype" w:eastAsiaTheme="minorEastAsia" w:hAnsi="Palatino Linotype" w:cs="Arial"/>
          <w:sz w:val="24"/>
          <w:szCs w:val="24"/>
          <w:lang w:val="es-ES_tradnl" w:eastAsia="es-ES"/>
        </w:rPr>
      </w:pP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 xml:space="preserve">Revisión fiscal 103/88. Instituto Mexicano del Seguro Social. 18 de octubre de 1988. Unanimidad de votos. Ponente: Arnoldo Nájera Virgen. Secretario: Alejandro </w:t>
      </w:r>
      <w:proofErr w:type="spellStart"/>
      <w:r w:rsidRPr="00B73B30">
        <w:rPr>
          <w:rFonts w:ascii="Palatino Linotype" w:eastAsiaTheme="minorEastAsia" w:hAnsi="Palatino Linotype" w:cs="Arial"/>
          <w:i/>
          <w:lang w:val="es-ES_tradnl" w:eastAsia="es-ES"/>
        </w:rPr>
        <w:t>Esponda</w:t>
      </w:r>
      <w:proofErr w:type="spellEnd"/>
      <w:r w:rsidRPr="00B73B30">
        <w:rPr>
          <w:rFonts w:ascii="Palatino Linotype" w:eastAsiaTheme="minorEastAsia" w:hAnsi="Palatino Linotype" w:cs="Arial"/>
          <w:i/>
          <w:lang w:val="es-ES_tradnl" w:eastAsia="es-ES"/>
        </w:rPr>
        <w:t xml:space="preserve"> Rincón.</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333/88. </w:t>
      </w:r>
      <w:proofErr w:type="spellStart"/>
      <w:r w:rsidRPr="00B73B30">
        <w:rPr>
          <w:rFonts w:ascii="Palatino Linotype" w:eastAsiaTheme="minorEastAsia" w:hAnsi="Palatino Linotype" w:cs="Arial"/>
          <w:i/>
          <w:lang w:val="es-ES_tradnl" w:eastAsia="es-ES"/>
        </w:rPr>
        <w:t>Adilia</w:t>
      </w:r>
      <w:proofErr w:type="spellEnd"/>
      <w:r w:rsidRPr="00B73B30">
        <w:rPr>
          <w:rFonts w:ascii="Palatino Linotype" w:eastAsiaTheme="minorEastAsia" w:hAnsi="Palatino Linotype" w:cs="Arial"/>
          <w:i/>
          <w:lang w:val="es-ES_tradnl" w:eastAsia="es-ES"/>
        </w:rPr>
        <w:t xml:space="preserve"> Romero. 26 de octubre de 1988. Unanimidad de votos. Ponente: Arnoldo Nájera Virgen. Secretario: Enrique Crispín Campos Ramírez.</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en revisión 597/95. Emilio Maurer Bretón. 15 de noviembre de 1995. Unanimidad de votos. Ponente: Clementina Ramírez Moguel </w:t>
      </w:r>
      <w:proofErr w:type="spellStart"/>
      <w:r w:rsidRPr="00B73B30">
        <w:rPr>
          <w:rFonts w:ascii="Palatino Linotype" w:eastAsiaTheme="minorEastAsia" w:hAnsi="Palatino Linotype" w:cs="Arial"/>
          <w:i/>
          <w:lang w:val="es-ES_tradnl" w:eastAsia="es-ES"/>
        </w:rPr>
        <w:t>Goyzueta</w:t>
      </w:r>
      <w:proofErr w:type="spellEnd"/>
      <w:r w:rsidRPr="00B73B30">
        <w:rPr>
          <w:rFonts w:ascii="Palatino Linotype" w:eastAsiaTheme="minorEastAsia" w:hAnsi="Palatino Linotype" w:cs="Arial"/>
          <w:i/>
          <w:lang w:val="es-ES_tradnl" w:eastAsia="es-ES"/>
        </w:rPr>
        <w:t>. Secretario: Gonzalo Carrera Molina.</w:t>
      </w:r>
    </w:p>
    <w:p w:rsidR="00232B6D" w:rsidRPr="00B73B30" w:rsidRDefault="00232B6D" w:rsidP="00232B6D">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 xml:space="preserve">Amparo directo 7/96. Pedro Vicente López Miro. 21 de febrero de 1996. Unanimidad de votos. Ponente: María Eugenia Estela Martínez Cardiel. Secretario: Enrique </w:t>
      </w:r>
      <w:proofErr w:type="spellStart"/>
      <w:r w:rsidRPr="00B73B30">
        <w:rPr>
          <w:rFonts w:ascii="Palatino Linotype" w:eastAsiaTheme="minorEastAsia" w:hAnsi="Palatino Linotype" w:cs="Arial"/>
          <w:i/>
          <w:lang w:val="es-ES_tradnl" w:eastAsia="es-ES"/>
        </w:rPr>
        <w:t>Baigts</w:t>
      </w:r>
      <w:proofErr w:type="spellEnd"/>
      <w:r w:rsidRPr="00B73B30">
        <w:rPr>
          <w:rFonts w:ascii="Palatino Linotype" w:eastAsiaTheme="minorEastAsia" w:hAnsi="Palatino Linotype" w:cs="Arial"/>
          <w:i/>
          <w:lang w:val="es-ES_tradnl" w:eastAsia="es-ES"/>
        </w:rPr>
        <w:t xml:space="preserve"> Muñoz.</w:t>
      </w:r>
    </w:p>
    <w:p w:rsidR="00232B6D" w:rsidRPr="00427B79" w:rsidRDefault="00232B6D" w:rsidP="00232B6D">
      <w:pPr>
        <w:spacing w:after="0" w:line="360" w:lineRule="auto"/>
        <w:contextualSpacing/>
        <w:jc w:val="both"/>
        <w:rPr>
          <w:rFonts w:ascii="Palatino Linotype" w:eastAsiaTheme="minorEastAsia" w:hAnsi="Palatino Linotype" w:cs="Arial"/>
          <w:sz w:val="24"/>
          <w:szCs w:val="24"/>
          <w:lang w:val="es-ES" w:eastAsia="es-ES"/>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sz w:val="24"/>
          <w:szCs w:val="24"/>
        </w:rPr>
        <w:t>que en consecuencia contradice en primer lugar</w:t>
      </w:r>
      <w:r w:rsidRPr="00D35B4C">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 xml:space="preserve">l </w:t>
      </w:r>
      <w:r w:rsidRPr="00427B79">
        <w:rPr>
          <w:rFonts w:ascii="Palatino Linotype" w:eastAsia="Calibri" w:hAnsi="Palatino Linotype" w:cs="Arial"/>
          <w:sz w:val="24"/>
          <w:szCs w:val="24"/>
          <w:u w:val="single"/>
        </w:rPr>
        <w:lastRenderedPageBreak/>
        <w:t>principio de certeza</w:t>
      </w:r>
      <w:r w:rsidRPr="00427B79">
        <w:rPr>
          <w:rFonts w:ascii="Palatino Linotype" w:eastAsia="Calibri" w:hAnsi="Palatino Linotype" w:cs="Arial"/>
          <w:sz w:val="24"/>
          <w:szCs w:val="24"/>
        </w:rPr>
        <w:t>, en razón de que el acto de autoridad que realizó el Secretaría de Finanzas del Estado de México en respuesta a la solicitud carece de fundamentación y motivación, lo que en consecuencia no brinda seguridad y certidumbre jurídica al particular, imposibilitando conocer si la postura</w:t>
      </w:r>
      <w:r>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el mismo deberá fundar y motivar</w:t>
      </w:r>
      <w:r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232B6D" w:rsidRDefault="00232B6D" w:rsidP="00232B6D">
      <w:pPr>
        <w:pStyle w:val="Prrafodelista"/>
        <w:rPr>
          <w:rFonts w:ascii="Palatino Linotype" w:eastAsia="Calibri" w:hAnsi="Palatino Linotype" w:cs="Arial"/>
          <w:sz w:val="24"/>
          <w:szCs w:val="24"/>
          <w:lang w:val="es-ES_tradnl"/>
        </w:rPr>
      </w:pPr>
    </w:p>
    <w:p w:rsidR="00232B6D" w:rsidRPr="00A22908"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
        </w:rPr>
      </w:pPr>
    </w:p>
    <w:p w:rsidR="00232B6D" w:rsidRPr="00A22908" w:rsidRDefault="00232B6D" w:rsidP="00232B6D">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lastRenderedPageBreak/>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232B6D" w:rsidRPr="00A22908" w:rsidRDefault="00232B6D" w:rsidP="00232B6D">
      <w:pPr>
        <w:spacing w:after="0" w:line="360" w:lineRule="auto"/>
        <w:contextualSpacing/>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232B6D" w:rsidRPr="00A22908" w:rsidRDefault="00232B6D" w:rsidP="00232B6D">
      <w:pPr>
        <w:pStyle w:val="Prrafodelista"/>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A22908">
        <w:rPr>
          <w:rFonts w:ascii="Palatino Linotype" w:eastAsia="Calibri" w:hAnsi="Palatino Linotype" w:cs="Arial"/>
          <w:sz w:val="24"/>
          <w:szCs w:val="24"/>
          <w:lang w:val="es-ES_tradnl"/>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roofErr w:type="gramStart"/>
      <w:r w:rsidRPr="00A22908">
        <w:rPr>
          <w:rFonts w:ascii="Palatino Linotype" w:eastAsia="Calibri" w:hAnsi="Palatino Linotype" w:cs="Arial"/>
          <w:sz w:val="24"/>
          <w:szCs w:val="24"/>
          <w:lang w:val="es-ES_tradnl"/>
        </w:rPr>
        <w:t>....”</w:t>
      </w:r>
      <w:proofErr w:type="gramEnd"/>
    </w:p>
    <w:p w:rsidR="00232B6D" w:rsidRPr="00A22908" w:rsidRDefault="00232B6D" w:rsidP="00232B6D">
      <w:pPr>
        <w:spacing w:after="0" w:line="360" w:lineRule="auto"/>
        <w:ind w:right="616"/>
        <w:contextualSpacing/>
        <w:jc w:val="both"/>
        <w:rPr>
          <w:rFonts w:ascii="Palatino Linotype" w:eastAsia="Calibri" w:hAnsi="Palatino Linotype" w:cs="Arial"/>
          <w:i/>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32B6D"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32B6D" w:rsidRPr="00A22908" w:rsidRDefault="00232B6D" w:rsidP="00232B6D">
      <w:pPr>
        <w:pStyle w:val="Prrafodelista"/>
        <w:spacing w:after="0" w:line="360" w:lineRule="auto"/>
        <w:ind w:left="0"/>
        <w:jc w:val="both"/>
        <w:rPr>
          <w:rFonts w:ascii="Palatino Linotype" w:eastAsia="Calibri" w:hAnsi="Palatino Linotype" w:cs="Arial"/>
          <w:sz w:val="24"/>
          <w:szCs w:val="24"/>
          <w:lang w:val="es-ES_tradnl"/>
        </w:rPr>
      </w:pPr>
    </w:p>
    <w:p w:rsidR="00232B6D" w:rsidRPr="00427B79"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Pr>
          <w:rFonts w:ascii="Palatino Linotype" w:eastAsia="Calibri" w:hAnsi="Palatino Linotype" w:cs="Arial"/>
          <w:sz w:val="24"/>
          <w:szCs w:val="24"/>
        </w:rPr>
        <w:t xml:space="preserve"> por no encontrarse dentro de sus </w:t>
      </w:r>
      <w:r w:rsidRPr="0083488C">
        <w:rPr>
          <w:rFonts w:ascii="Palatino Linotype" w:hAnsi="Palatino Linotype"/>
          <w:sz w:val="24"/>
          <w:szCs w:val="24"/>
        </w:rPr>
        <w:t>facultades, competencias o funcione</w:t>
      </w:r>
      <w:r>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232B6D" w:rsidRPr="00427B79" w:rsidRDefault="00232B6D" w:rsidP="00232B6D">
      <w:pPr>
        <w:spacing w:after="0" w:line="360" w:lineRule="auto"/>
        <w:contextualSpacing/>
        <w:jc w:val="both"/>
        <w:rPr>
          <w:b/>
          <w:bCs/>
          <w:sz w:val="24"/>
          <w:szCs w:val="24"/>
        </w:rPr>
      </w:pPr>
    </w:p>
    <w:p w:rsidR="00232B6D" w:rsidRPr="00427B79" w:rsidRDefault="00232B6D" w:rsidP="00232B6D">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lastRenderedPageBreak/>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83488C" w:rsidRDefault="00232B6D" w:rsidP="00232B6D">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83488C">
        <w:rPr>
          <w:rFonts w:ascii="Palatino Linotype" w:eastAsia="Calibri" w:hAnsi="Palatino Linotype" w:cs="Arial"/>
          <w:sz w:val="24"/>
          <w:szCs w:val="24"/>
        </w:rPr>
        <w:t xml:space="preserve">Sirve de sustento el siguiente criterio del </w:t>
      </w:r>
      <w:r w:rsidRPr="0083488C">
        <w:rPr>
          <w:rFonts w:ascii="Palatino Linotype" w:hAnsi="Palatino Linotype" w:cs="Times New Roman"/>
        </w:rPr>
        <w:t>Segundo Tribunal Colegiado del Sexto Circuito.</w:t>
      </w:r>
    </w:p>
    <w:p w:rsidR="00232B6D" w:rsidRPr="0083488C" w:rsidRDefault="00232B6D" w:rsidP="00232B6D">
      <w:pPr>
        <w:spacing w:after="0" w:line="360" w:lineRule="auto"/>
        <w:jc w:val="both"/>
        <w:rPr>
          <w:rFonts w:ascii="Palatino Linotype" w:eastAsia="Calibri" w:hAnsi="Palatino Linotype" w:cs="Arial"/>
          <w:sz w:val="24"/>
          <w:szCs w:val="24"/>
        </w:rPr>
      </w:pPr>
    </w:p>
    <w:p w:rsidR="00232B6D" w:rsidRPr="0083488C" w:rsidRDefault="00232B6D" w:rsidP="00232B6D">
      <w:pPr>
        <w:autoSpaceDE w:val="0"/>
        <w:autoSpaceDN w:val="0"/>
        <w:adjustRightInd w:val="0"/>
        <w:spacing w:after="0" w:line="360" w:lineRule="auto"/>
        <w:ind w:left="567" w:right="616"/>
        <w:jc w:val="both"/>
        <w:rPr>
          <w:rFonts w:ascii="Palatino Linotype" w:hAnsi="Palatino Linotype" w:cs="Times New Roman"/>
          <w:i/>
        </w:rPr>
      </w:pPr>
      <w:r w:rsidRPr="0083488C">
        <w:rPr>
          <w:rFonts w:ascii="Palatino Linotype" w:hAnsi="Palatino Linotype" w:cs="Times New Roman"/>
          <w:b/>
          <w:i/>
        </w:rPr>
        <w:t>FUNDAMENTACION Y MOTIVACION DE LOS ACTOS ADMINISTRATIVOS</w:t>
      </w:r>
      <w:r w:rsidRPr="0083488C">
        <w:rPr>
          <w:rFonts w:ascii="Palatino Linotype" w:hAnsi="Palatino Linotype" w:cs="Times New Roman"/>
          <w:i/>
        </w:rPr>
        <w:t xml:space="preserve">. De acuerdo con el artículo 16 constitucional, todo acto de autoridad debe estar suficientemente fundado y motivado, entendiéndose por lo 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w:t>
      </w:r>
      <w:r w:rsidRPr="0083488C">
        <w:rPr>
          <w:rFonts w:ascii="Palatino Linotype" w:hAnsi="Palatino Linotype" w:cs="Times New Roman"/>
          <w:i/>
        </w:rPr>
        <w:lastRenderedPageBreak/>
        <w:t xml:space="preserve">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cs="Times New Roman"/>
          <w:i/>
        </w:rPr>
        <w:t>subincisos</w:t>
      </w:r>
      <w:proofErr w:type="spellEnd"/>
      <w:r w:rsidRPr="0083488C">
        <w:rPr>
          <w:rFonts w:ascii="Palatino Linotype" w:hAnsi="Palatino Linotype" w:cs="Times New Roman"/>
          <w:i/>
        </w:rPr>
        <w:t>, fracciones y preceptos aplicables, y b).- Los cuerpos legales, y preceptos que otorgan competencia o facultades a las autoridades para emitir el acto en agravio del gobernado.</w:t>
      </w:r>
    </w:p>
    <w:p w:rsidR="00232B6D" w:rsidRPr="00427B79" w:rsidRDefault="00232B6D" w:rsidP="00232B6D">
      <w:pPr>
        <w:spacing w:after="0" w:line="360" w:lineRule="auto"/>
        <w:contextualSpacing/>
        <w:jc w:val="both"/>
        <w:rPr>
          <w:rFonts w:ascii="Palatino Linotype" w:eastAsia="Calibri" w:hAnsi="Palatino Linotype" w:cs="Arial"/>
          <w:sz w:val="24"/>
          <w:szCs w:val="24"/>
        </w:rPr>
      </w:pPr>
    </w:p>
    <w:p w:rsidR="00232B6D" w:rsidRPr="009A706C"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t>Por lo anteriormente expuesto, se concluye que para los casos en que la información que el</w:t>
      </w:r>
      <w:r>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232B6D" w:rsidRPr="0083488C" w:rsidRDefault="00232B6D" w:rsidP="00232B6D">
      <w:pPr>
        <w:spacing w:after="0" w:line="360" w:lineRule="auto"/>
        <w:contextualSpacing/>
        <w:jc w:val="both"/>
        <w:rPr>
          <w:rFonts w:ascii="Palatino Linotype" w:hAnsi="Palatino Linotype"/>
          <w:sz w:val="24"/>
          <w:szCs w:val="24"/>
        </w:rPr>
      </w:pPr>
    </w:p>
    <w:p w:rsidR="00232B6D" w:rsidRPr="00232B6D" w:rsidRDefault="00232B6D" w:rsidP="00232B6D">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circunstancia no puede tener como resultado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232B6D" w:rsidRDefault="00232B6D" w:rsidP="00232B6D">
      <w:pPr>
        <w:pStyle w:val="Prrafodelista"/>
        <w:rPr>
          <w:rFonts w:ascii="Palatino Linotype" w:hAnsi="Palatino Linotype"/>
          <w:sz w:val="24"/>
          <w:szCs w:val="24"/>
        </w:rPr>
      </w:pPr>
    </w:p>
    <w:p w:rsidR="00232B6D" w:rsidRPr="00B73B30" w:rsidRDefault="00232B6D" w:rsidP="00232B6D">
      <w:pPr>
        <w:spacing w:after="0" w:line="360" w:lineRule="auto"/>
        <w:contextualSpacing/>
        <w:jc w:val="both"/>
        <w:rPr>
          <w:rFonts w:ascii="Palatino Linotype" w:hAnsi="Palatino Linotype"/>
          <w:sz w:val="24"/>
          <w:szCs w:val="24"/>
        </w:rPr>
      </w:pPr>
    </w:p>
    <w:p w:rsidR="00232B6D" w:rsidRPr="0083488C" w:rsidRDefault="00232B6D" w:rsidP="00232B6D">
      <w:pPr>
        <w:pStyle w:val="Ttulo1"/>
        <w:rPr>
          <w:rFonts w:eastAsia="Calibri"/>
          <w:szCs w:val="24"/>
        </w:rPr>
      </w:pPr>
      <w:bookmarkStart w:id="9" w:name="_Toc521923727"/>
      <w:bookmarkStart w:id="10" w:name="_Toc523142196"/>
      <w:r>
        <w:rPr>
          <w:rFonts w:eastAsia="Calibri"/>
          <w:szCs w:val="24"/>
        </w:rPr>
        <w:lastRenderedPageBreak/>
        <w:t xml:space="preserve">VI. </w:t>
      </w:r>
      <w:r w:rsidRPr="0083488C">
        <w:rPr>
          <w:rFonts w:eastAsia="Calibri"/>
          <w:szCs w:val="24"/>
        </w:rPr>
        <w:t>Conclusión.</w:t>
      </w:r>
      <w:bookmarkEnd w:id="9"/>
      <w:bookmarkEnd w:id="10"/>
    </w:p>
    <w:p w:rsidR="00232B6D" w:rsidRPr="00427B79" w:rsidRDefault="00232B6D" w:rsidP="00232B6D">
      <w:pPr>
        <w:pStyle w:val="Prrafodelista"/>
        <w:ind w:left="0"/>
        <w:rPr>
          <w:rFonts w:ascii="Palatino Linotype" w:eastAsia="Calibri" w:hAnsi="Palatino Linotype" w:cs="Arial"/>
          <w:sz w:val="24"/>
          <w:szCs w:val="24"/>
        </w:rPr>
      </w:pPr>
    </w:p>
    <w:p w:rsidR="00232B6D" w:rsidRDefault="00232B6D" w:rsidP="00232B6D">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w:t>
      </w:r>
      <w:r>
        <w:rPr>
          <w:rFonts w:ascii="Palatino Linotype" w:eastAsia="Calibri" w:hAnsi="Palatino Linotype" w:cs="Arial"/>
          <w:sz w:val="24"/>
          <w:szCs w:val="24"/>
        </w:rPr>
        <w:t xml:space="preserve"> en primer término </w:t>
      </w:r>
      <w:r w:rsidRPr="00427B79">
        <w:rPr>
          <w:rFonts w:ascii="Palatino Linotype" w:eastAsia="Calibri" w:hAnsi="Palatino Linotype" w:cs="Arial"/>
          <w:sz w:val="24"/>
          <w:szCs w:val="24"/>
        </w:rPr>
        <w:t xml:space="preserv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eastAsia="Calibri" w:hAnsi="Palatino Linotype" w:cs="Arial"/>
          <w:sz w:val="24"/>
          <w:szCs w:val="24"/>
        </w:rPr>
      </w:pPr>
    </w:p>
    <w:p w:rsidR="00232B6D" w:rsidRDefault="00232B6D" w:rsidP="00232B6D">
      <w:pPr>
        <w:spacing w:after="0" w:line="360" w:lineRule="auto"/>
        <w:contextualSpacing/>
        <w:jc w:val="both"/>
        <w:rPr>
          <w:rFonts w:ascii="Palatino Linotype" w:eastAsia="Calibri" w:hAnsi="Palatino Linotype" w:cs="Arial"/>
          <w:sz w:val="24"/>
          <w:szCs w:val="24"/>
        </w:rPr>
      </w:pPr>
    </w:p>
    <w:p w:rsidR="00AB4BB9" w:rsidRDefault="00AB4BB9" w:rsidP="00232B6D">
      <w:pPr>
        <w:spacing w:after="0" w:line="360" w:lineRule="auto"/>
        <w:contextualSpacing/>
        <w:jc w:val="both"/>
        <w:rPr>
          <w:rFonts w:ascii="Palatino Linotype" w:eastAsia="Calibri" w:hAnsi="Palatino Linotype" w:cs="Arial"/>
          <w:sz w:val="24"/>
          <w:szCs w:val="24"/>
        </w:rPr>
      </w:pPr>
    </w:p>
    <w:p w:rsidR="0046491C" w:rsidRPr="00D33AF9" w:rsidRDefault="0046491C" w:rsidP="0046491C">
      <w:pPr>
        <w:pStyle w:val="Sinespaciado"/>
        <w:spacing w:line="360" w:lineRule="auto"/>
        <w:jc w:val="center"/>
        <w:rPr>
          <w:rFonts w:ascii="Palatino Linotype" w:hAnsi="Palatino Linotype"/>
          <w:b/>
          <w:sz w:val="24"/>
          <w:szCs w:val="24"/>
        </w:rPr>
      </w:pPr>
      <w:r w:rsidRPr="00D33AF9">
        <w:rPr>
          <w:rFonts w:ascii="Palatino Linotype" w:hAnsi="Palatino Linotype"/>
          <w:b/>
          <w:sz w:val="24"/>
          <w:szCs w:val="24"/>
        </w:rPr>
        <w:t>JOSÉ GUADALUPE LUNA HERNÁNDEZ</w:t>
      </w:r>
    </w:p>
    <w:p w:rsidR="0046491C" w:rsidRDefault="0046491C" w:rsidP="00D33AF9">
      <w:pPr>
        <w:jc w:val="center"/>
        <w:rPr>
          <w:rFonts w:ascii="Palatino Linotype" w:hAnsi="Palatino Linotype"/>
          <w:b/>
          <w:sz w:val="24"/>
          <w:szCs w:val="24"/>
        </w:rPr>
      </w:pPr>
      <w:r w:rsidRPr="00D33AF9">
        <w:rPr>
          <w:rFonts w:ascii="Palatino Linotype" w:hAnsi="Palatino Linotype"/>
          <w:b/>
          <w:sz w:val="24"/>
          <w:szCs w:val="24"/>
        </w:rPr>
        <w:t>COMISIONADO</w:t>
      </w:r>
    </w:p>
    <w:p w:rsidR="00232B6D" w:rsidRDefault="00232B6D" w:rsidP="00D33AF9">
      <w:pPr>
        <w:jc w:val="center"/>
        <w:rPr>
          <w:rFonts w:ascii="Palatino Linotype" w:hAnsi="Palatino Linotype"/>
          <w:b/>
          <w:sz w:val="24"/>
          <w:szCs w:val="24"/>
        </w:rPr>
      </w:pPr>
    </w:p>
    <w:p w:rsidR="00232B6D" w:rsidRDefault="00232B6D" w:rsidP="00E67B8D">
      <w:pPr>
        <w:rPr>
          <w:rFonts w:ascii="Palatino Linotype" w:hAnsi="Palatino Linotype"/>
          <w:sz w:val="20"/>
          <w:szCs w:val="20"/>
        </w:rPr>
      </w:pPr>
    </w:p>
    <w:p w:rsidR="00D02E7A" w:rsidRPr="00EB3B6B" w:rsidRDefault="00AD5FF3" w:rsidP="00E67B8D">
      <w:pPr>
        <w:rPr>
          <w:rFonts w:ascii="Palatino Linotype" w:hAnsi="Palatino Linotype"/>
          <w:sz w:val="20"/>
          <w:szCs w:val="20"/>
        </w:rPr>
      </w:pPr>
      <w:r>
        <w:rPr>
          <w:rFonts w:ascii="Palatino Linotype" w:hAnsi="Palatino Linotype"/>
          <w:sz w:val="20"/>
          <w:szCs w:val="20"/>
        </w:rPr>
        <w:t>JGLH/</w:t>
      </w:r>
      <w:r w:rsidR="00EB3B6B" w:rsidRPr="00EB3B6B">
        <w:rPr>
          <w:rFonts w:ascii="Palatino Linotype" w:hAnsi="Palatino Linotype"/>
          <w:sz w:val="20"/>
          <w:szCs w:val="20"/>
        </w:rPr>
        <w:t>SAVAP/SEV</w:t>
      </w:r>
    </w:p>
    <w:sectPr w:rsidR="00D02E7A" w:rsidRPr="00EB3B6B" w:rsidSect="00456B87">
      <w:headerReference w:type="even" r:id="rId8"/>
      <w:headerReference w:type="default" r:id="rId9"/>
      <w:footerReference w:type="default" r:id="rId10"/>
      <w:headerReference w:type="first" r:id="rId11"/>
      <w:pgSz w:w="12240" w:h="15840" w:code="1"/>
      <w:pgMar w:top="2410" w:right="1701" w:bottom="243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CB0" w:rsidRDefault="003B6CB0" w:rsidP="00E706DA">
      <w:pPr>
        <w:spacing w:after="0" w:line="240" w:lineRule="auto"/>
      </w:pPr>
      <w:r>
        <w:separator/>
      </w:r>
    </w:p>
  </w:endnote>
  <w:endnote w:type="continuationSeparator" w:id="0">
    <w:p w:rsidR="003B6CB0" w:rsidRDefault="003B6CB0" w:rsidP="00E7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2465616"/>
      <w:docPartObj>
        <w:docPartGallery w:val="Page Numbers (Bottom of Page)"/>
        <w:docPartUnique/>
      </w:docPartObj>
    </w:sdtPr>
    <w:sdtEndPr/>
    <w:sdtContent>
      <w:sdt>
        <w:sdtPr>
          <w:id w:val="1012499541"/>
          <w:docPartObj>
            <w:docPartGallery w:val="Page Numbers (Top of Page)"/>
            <w:docPartUnique/>
          </w:docPartObj>
        </w:sdtPr>
        <w:sdtEndPr/>
        <w:sdtContent>
          <w:p w:rsidR="00456B87" w:rsidRDefault="00073F0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545599">
              <w:rPr>
                <w:rFonts w:ascii="Palatino Linotype" w:hAnsi="Palatino Linotype"/>
                <w:b/>
                <w:bCs/>
                <w:noProof/>
                <w:sz w:val="20"/>
                <w:szCs w:val="20"/>
              </w:rPr>
              <w:t>28</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545599">
              <w:rPr>
                <w:rFonts w:ascii="Palatino Linotype" w:hAnsi="Palatino Linotype"/>
                <w:b/>
                <w:bCs/>
                <w:noProof/>
                <w:sz w:val="20"/>
                <w:szCs w:val="20"/>
              </w:rPr>
              <w:t>28</w:t>
            </w:r>
            <w:r w:rsidRPr="0052203D">
              <w:rPr>
                <w:rFonts w:ascii="Palatino Linotype" w:hAnsi="Palatino Linotype"/>
                <w:b/>
                <w:bCs/>
                <w:sz w:val="20"/>
                <w:szCs w:val="20"/>
              </w:rPr>
              <w:fldChar w:fldCharType="end"/>
            </w:r>
          </w:p>
        </w:sdtContent>
      </w:sdt>
    </w:sdtContent>
  </w:sdt>
  <w:p w:rsidR="00456B87" w:rsidRDefault="00456B8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CB0" w:rsidRDefault="003B6CB0" w:rsidP="00E706DA">
      <w:pPr>
        <w:spacing w:after="0" w:line="240" w:lineRule="auto"/>
      </w:pPr>
      <w:r>
        <w:separator/>
      </w:r>
    </w:p>
  </w:footnote>
  <w:footnote w:type="continuationSeparator" w:id="0">
    <w:p w:rsidR="003B6CB0" w:rsidRDefault="003B6CB0" w:rsidP="00E706DA">
      <w:pPr>
        <w:spacing w:after="0" w:line="240" w:lineRule="auto"/>
      </w:pPr>
      <w:r>
        <w:continuationSeparator/>
      </w:r>
    </w:p>
  </w:footnote>
  <w:footnote w:id="1">
    <w:p w:rsidR="0046491C" w:rsidRDefault="0046491C" w:rsidP="0046491C">
      <w:pPr>
        <w:pStyle w:val="Textonotapie"/>
      </w:pPr>
      <w:r>
        <w:rPr>
          <w:rStyle w:val="Refdenotaalpie"/>
        </w:rPr>
        <w:footnoteRef/>
      </w:r>
      <w:r>
        <w:t xml:space="preserve"> Instituto de Investigaciones Jurídicas. </w:t>
      </w:r>
      <w:r w:rsidRPr="00C775C0">
        <w:rPr>
          <w:i/>
        </w:rPr>
        <w:t>Diccionario Jurídico Mexicano.</w:t>
      </w:r>
      <w:r>
        <w:t xml:space="preserve"> México, </w:t>
      </w:r>
      <w:proofErr w:type="spellStart"/>
      <w:r>
        <w:t>Coed</w:t>
      </w:r>
      <w:proofErr w:type="spellEnd"/>
      <w:r>
        <w:t>. Porrúa e Instituto de Investigaciones Jurídicas de la UNAM, 2001. Pág. 3593.</w:t>
      </w:r>
    </w:p>
  </w:footnote>
  <w:footnote w:id="2">
    <w:p w:rsidR="0046491C" w:rsidRDefault="0046491C" w:rsidP="0046491C">
      <w:pPr>
        <w:pStyle w:val="Textonotapie"/>
      </w:pPr>
      <w:r>
        <w:rPr>
          <w:rStyle w:val="Refdenotaalpie"/>
        </w:rPr>
        <w:footnoteRef/>
      </w:r>
      <w:r>
        <w:t xml:space="preserve"> </w:t>
      </w:r>
      <w:r w:rsidRPr="00C775C0">
        <w:rPr>
          <w:i/>
        </w:rPr>
        <w:t>Ibídem</w:t>
      </w:r>
      <w:r>
        <w:t>. Pág. 3594.</w:t>
      </w:r>
    </w:p>
  </w:footnote>
  <w:footnote w:id="3">
    <w:p w:rsidR="0046491C" w:rsidRDefault="0046491C" w:rsidP="0046491C">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 w:id="4">
    <w:p w:rsidR="0046491C" w:rsidRDefault="0046491C" w:rsidP="0046491C">
      <w:pPr>
        <w:pStyle w:val="Textonotapie"/>
      </w:pPr>
      <w:r>
        <w:rPr>
          <w:rStyle w:val="Refdenotaalpie"/>
        </w:rPr>
        <w:footnoteRef/>
      </w:r>
      <w:r>
        <w:t xml:space="preserve"> COTTA, Sergio. </w:t>
      </w:r>
      <w:r w:rsidRPr="00F50476">
        <w:rPr>
          <w:i/>
        </w:rPr>
        <w:t>Justificación y obligatoriedad de las normas.</w:t>
      </w:r>
      <w:r>
        <w:t xml:space="preserve"> Madrid. Ed. </w:t>
      </w:r>
      <w:proofErr w:type="spellStart"/>
      <w:r>
        <w:t>Ceura</w:t>
      </w:r>
      <w:proofErr w:type="spellEnd"/>
      <w:r>
        <w:t>, 1987. Pág. 10.</w:t>
      </w:r>
    </w:p>
  </w:footnote>
  <w:footnote w:id="5">
    <w:p w:rsidR="0046491C" w:rsidRDefault="0046491C" w:rsidP="0046491C">
      <w:pPr>
        <w:pStyle w:val="Textonotapie"/>
      </w:pPr>
      <w:r>
        <w:rPr>
          <w:rStyle w:val="Refdenotaalpie"/>
        </w:rPr>
        <w:footnoteRef/>
      </w:r>
      <w:r>
        <w:t xml:space="preserve"> </w:t>
      </w:r>
      <w:proofErr w:type="spellStart"/>
      <w:r>
        <w:t>Zagrebelsky</w:t>
      </w:r>
      <w:proofErr w:type="spellEnd"/>
      <w:r>
        <w:t xml:space="preserve">, Gustavo. </w:t>
      </w:r>
      <w:r w:rsidRPr="00F50476">
        <w:rPr>
          <w:i/>
        </w:rPr>
        <w:t>El derecho dúctil. Ley, derechos, justicia.</w:t>
      </w:r>
      <w:r>
        <w:t xml:space="preserve"> Trad. Marina Gascón, 10ª. Edición, Madrid, Ed. Trota, 2011. Pág. 40.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B6CB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6" o:spid="_x0000_s2050" type="#_x0000_t136" style="position:absolute;margin-left:0;margin-top:0;width:541.8pt;height:81.25pt;rotation:315;z-index:-251656192;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B6CB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7" o:spid="_x0000_s2051"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p w:rsidR="00456B87" w:rsidRDefault="00456B8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B87" w:rsidRDefault="003B6CB0">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4658765" o:spid="_x0000_s2049" type="#_x0000_t136" style="position:absolute;margin-left:0;margin-top:0;width:541.8pt;height:81.25pt;rotation:315;z-index:-25165824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E7CD0"/>
    <w:multiLevelType w:val="hybridMultilevel"/>
    <w:tmpl w:val="C2C472DC"/>
    <w:lvl w:ilvl="0" w:tplc="080A0017">
      <w:start w:val="1"/>
      <w:numFmt w:val="lowerLetter"/>
      <w:lvlText w:val="%1)"/>
      <w:lvlJc w:val="left"/>
      <w:pPr>
        <w:ind w:left="1068" w:hanging="360"/>
      </w:pPr>
      <w:rPr>
        <w:rFonts w:eastAsia="Times New Roman" w:hint="default"/>
        <w:i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099012DE"/>
    <w:multiLevelType w:val="hybridMultilevel"/>
    <w:tmpl w:val="EA74E38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
    <w:nsid w:val="0E89530D"/>
    <w:multiLevelType w:val="hybridMultilevel"/>
    <w:tmpl w:val="15584D4E"/>
    <w:lvl w:ilvl="0" w:tplc="A7BC820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C0F0256"/>
    <w:multiLevelType w:val="hybridMultilevel"/>
    <w:tmpl w:val="BC78F38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B107A9A"/>
    <w:multiLevelType w:val="hybridMultilevel"/>
    <w:tmpl w:val="4C5E36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54A3428"/>
    <w:multiLevelType w:val="hybridMultilevel"/>
    <w:tmpl w:val="CD42EC9E"/>
    <w:lvl w:ilvl="0" w:tplc="E8D6F5EE">
      <w:start w:val="4"/>
      <w:numFmt w:val="upperRoman"/>
      <w:lvlText w:val="%1."/>
      <w:lvlJc w:val="left"/>
      <w:pPr>
        <w:ind w:left="1080" w:hanging="720"/>
      </w:pPr>
      <w:rPr>
        <w:rFonts w:ascii="Palatino Linotype" w:eastAsiaTheme="majorEastAsia" w:hAnsi="Palatino Linotype" w:cstheme="majorBidi"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77202FA"/>
    <w:multiLevelType w:val="hybridMultilevel"/>
    <w:tmpl w:val="8A766AD2"/>
    <w:lvl w:ilvl="0" w:tplc="72EA014A">
      <w:start w:val="1"/>
      <w:numFmt w:val="decimal"/>
      <w:lvlText w:val="%1."/>
      <w:lvlJc w:val="left"/>
      <w:pPr>
        <w:ind w:left="360" w:hanging="360"/>
      </w:pPr>
      <w:rPr>
        <w:rFonts w:ascii="Palatino Linotype" w:eastAsia="Times New Roman" w:hAnsi="Palatino Linotype"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57910C6E"/>
    <w:multiLevelType w:val="hybridMultilevel"/>
    <w:tmpl w:val="E14A8AFA"/>
    <w:lvl w:ilvl="0" w:tplc="9808DF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6FF0CD5"/>
    <w:multiLevelType w:val="hybridMultilevel"/>
    <w:tmpl w:val="E30AA7F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6C152896"/>
    <w:multiLevelType w:val="hybridMultilevel"/>
    <w:tmpl w:val="20E43D0E"/>
    <w:lvl w:ilvl="0" w:tplc="696A9FF4">
      <w:start w:val="3"/>
      <w:numFmt w:val="decimal"/>
      <w:lvlText w:val="%1."/>
      <w:lvlJc w:val="left"/>
      <w:pPr>
        <w:ind w:left="720" w:hanging="360"/>
      </w:pPr>
      <w:rPr>
        <w:rFonts w:eastAsia="Times New Roman" w:hint="default"/>
        <w:b/>
      </w:rPr>
    </w:lvl>
    <w:lvl w:ilvl="1" w:tplc="B84EFAB2">
      <w:start w:val="1"/>
      <w:numFmt w:val="lowerLetter"/>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F124520"/>
    <w:multiLevelType w:val="hybridMultilevel"/>
    <w:tmpl w:val="41C48E90"/>
    <w:lvl w:ilvl="0" w:tplc="6AB083EA">
      <w:start w:val="1"/>
      <w:numFmt w:val="lowerLetter"/>
      <w:lvlText w:val="%1)"/>
      <w:lvlJc w:val="left"/>
      <w:pPr>
        <w:ind w:left="1647" w:hanging="360"/>
      </w:pPr>
      <w:rPr>
        <w:rFonts w:hint="default"/>
      </w:rPr>
    </w:lvl>
    <w:lvl w:ilvl="1" w:tplc="080A0019" w:tentative="1">
      <w:start w:val="1"/>
      <w:numFmt w:val="lowerLetter"/>
      <w:lvlText w:val="%2."/>
      <w:lvlJc w:val="left"/>
      <w:pPr>
        <w:ind w:left="2367" w:hanging="360"/>
      </w:pPr>
    </w:lvl>
    <w:lvl w:ilvl="2" w:tplc="080A001B" w:tentative="1">
      <w:start w:val="1"/>
      <w:numFmt w:val="lowerRoman"/>
      <w:lvlText w:val="%3."/>
      <w:lvlJc w:val="right"/>
      <w:pPr>
        <w:ind w:left="3087" w:hanging="180"/>
      </w:pPr>
    </w:lvl>
    <w:lvl w:ilvl="3" w:tplc="080A000F" w:tentative="1">
      <w:start w:val="1"/>
      <w:numFmt w:val="decimal"/>
      <w:lvlText w:val="%4."/>
      <w:lvlJc w:val="left"/>
      <w:pPr>
        <w:ind w:left="3807" w:hanging="360"/>
      </w:pPr>
    </w:lvl>
    <w:lvl w:ilvl="4" w:tplc="080A0019" w:tentative="1">
      <w:start w:val="1"/>
      <w:numFmt w:val="lowerLetter"/>
      <w:lvlText w:val="%5."/>
      <w:lvlJc w:val="left"/>
      <w:pPr>
        <w:ind w:left="4527" w:hanging="360"/>
      </w:pPr>
    </w:lvl>
    <w:lvl w:ilvl="5" w:tplc="080A001B" w:tentative="1">
      <w:start w:val="1"/>
      <w:numFmt w:val="lowerRoman"/>
      <w:lvlText w:val="%6."/>
      <w:lvlJc w:val="right"/>
      <w:pPr>
        <w:ind w:left="5247" w:hanging="180"/>
      </w:pPr>
    </w:lvl>
    <w:lvl w:ilvl="6" w:tplc="080A000F" w:tentative="1">
      <w:start w:val="1"/>
      <w:numFmt w:val="decimal"/>
      <w:lvlText w:val="%7."/>
      <w:lvlJc w:val="left"/>
      <w:pPr>
        <w:ind w:left="5967" w:hanging="360"/>
      </w:pPr>
    </w:lvl>
    <w:lvl w:ilvl="7" w:tplc="080A0019" w:tentative="1">
      <w:start w:val="1"/>
      <w:numFmt w:val="lowerLetter"/>
      <w:lvlText w:val="%8."/>
      <w:lvlJc w:val="left"/>
      <w:pPr>
        <w:ind w:left="6687" w:hanging="360"/>
      </w:pPr>
    </w:lvl>
    <w:lvl w:ilvl="8" w:tplc="080A001B" w:tentative="1">
      <w:start w:val="1"/>
      <w:numFmt w:val="lowerRoman"/>
      <w:lvlText w:val="%9."/>
      <w:lvlJc w:val="right"/>
      <w:pPr>
        <w:ind w:left="7407" w:hanging="180"/>
      </w:pPr>
    </w:lvl>
  </w:abstractNum>
  <w:abstractNum w:abstractNumId="16">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754950E1"/>
    <w:multiLevelType w:val="hybridMultilevel"/>
    <w:tmpl w:val="4562317C"/>
    <w:lvl w:ilvl="0" w:tplc="006454C8">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
  </w:num>
  <w:num w:numId="4">
    <w:abstractNumId w:val="7"/>
  </w:num>
  <w:num w:numId="5">
    <w:abstractNumId w:val="9"/>
  </w:num>
  <w:num w:numId="6">
    <w:abstractNumId w:val="11"/>
  </w:num>
  <w:num w:numId="7">
    <w:abstractNumId w:val="14"/>
  </w:num>
  <w:num w:numId="8">
    <w:abstractNumId w:val="12"/>
  </w:num>
  <w:num w:numId="9">
    <w:abstractNumId w:val="17"/>
  </w:num>
  <w:num w:numId="10">
    <w:abstractNumId w:val="3"/>
  </w:num>
  <w:num w:numId="11">
    <w:abstractNumId w:val="16"/>
  </w:num>
  <w:num w:numId="12">
    <w:abstractNumId w:val="6"/>
  </w:num>
  <w:num w:numId="13">
    <w:abstractNumId w:val="8"/>
  </w:num>
  <w:num w:numId="14">
    <w:abstractNumId w:val="5"/>
  </w:num>
  <w:num w:numId="15">
    <w:abstractNumId w:val="0"/>
  </w:num>
  <w:num w:numId="16">
    <w:abstractNumId w:val="15"/>
  </w:num>
  <w:num w:numId="17">
    <w:abstractNumId w:val="2"/>
  </w:num>
  <w:num w:numId="18">
    <w:abstractNumId w:val="18"/>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6DA"/>
    <w:rsid w:val="0000525F"/>
    <w:rsid w:val="00007504"/>
    <w:rsid w:val="0003752B"/>
    <w:rsid w:val="00044038"/>
    <w:rsid w:val="00073F0D"/>
    <w:rsid w:val="000951B4"/>
    <w:rsid w:val="0009696B"/>
    <w:rsid w:val="00097F15"/>
    <w:rsid w:val="000A620C"/>
    <w:rsid w:val="000A7B66"/>
    <w:rsid w:val="000F0579"/>
    <w:rsid w:val="000F1C6B"/>
    <w:rsid w:val="000F6CBB"/>
    <w:rsid w:val="00106DB8"/>
    <w:rsid w:val="00117841"/>
    <w:rsid w:val="00122625"/>
    <w:rsid w:val="00172CB0"/>
    <w:rsid w:val="001D3F34"/>
    <w:rsid w:val="002006FF"/>
    <w:rsid w:val="002036ED"/>
    <w:rsid w:val="00232B6D"/>
    <w:rsid w:val="00232CA3"/>
    <w:rsid w:val="002620E9"/>
    <w:rsid w:val="00281310"/>
    <w:rsid w:val="002C37E1"/>
    <w:rsid w:val="002D0298"/>
    <w:rsid w:val="002E7894"/>
    <w:rsid w:val="00302274"/>
    <w:rsid w:val="003605A5"/>
    <w:rsid w:val="003747A5"/>
    <w:rsid w:val="003B44CB"/>
    <w:rsid w:val="003B6CB0"/>
    <w:rsid w:val="003D6E63"/>
    <w:rsid w:val="00410C93"/>
    <w:rsid w:val="00441939"/>
    <w:rsid w:val="004472A9"/>
    <w:rsid w:val="0045568A"/>
    <w:rsid w:val="00456B87"/>
    <w:rsid w:val="0046491C"/>
    <w:rsid w:val="00476094"/>
    <w:rsid w:val="00511A5B"/>
    <w:rsid w:val="00545599"/>
    <w:rsid w:val="00547195"/>
    <w:rsid w:val="005474BE"/>
    <w:rsid w:val="00556CD4"/>
    <w:rsid w:val="00570595"/>
    <w:rsid w:val="005833D9"/>
    <w:rsid w:val="005A3267"/>
    <w:rsid w:val="005A57BA"/>
    <w:rsid w:val="005F5DBB"/>
    <w:rsid w:val="00602B26"/>
    <w:rsid w:val="00606E42"/>
    <w:rsid w:val="00634736"/>
    <w:rsid w:val="006728FD"/>
    <w:rsid w:val="006773D4"/>
    <w:rsid w:val="00717C0D"/>
    <w:rsid w:val="0072136B"/>
    <w:rsid w:val="00770016"/>
    <w:rsid w:val="00770B87"/>
    <w:rsid w:val="00790E37"/>
    <w:rsid w:val="0082270E"/>
    <w:rsid w:val="008275ED"/>
    <w:rsid w:val="00850252"/>
    <w:rsid w:val="0085533E"/>
    <w:rsid w:val="00856FA1"/>
    <w:rsid w:val="008822B3"/>
    <w:rsid w:val="008B03B6"/>
    <w:rsid w:val="008C13C7"/>
    <w:rsid w:val="008D7AF8"/>
    <w:rsid w:val="008F3E81"/>
    <w:rsid w:val="008F735D"/>
    <w:rsid w:val="008F7578"/>
    <w:rsid w:val="00900E75"/>
    <w:rsid w:val="00902248"/>
    <w:rsid w:val="00920A6F"/>
    <w:rsid w:val="00926781"/>
    <w:rsid w:val="00957232"/>
    <w:rsid w:val="00996597"/>
    <w:rsid w:val="009C3135"/>
    <w:rsid w:val="009C41CC"/>
    <w:rsid w:val="009E7FFA"/>
    <w:rsid w:val="00A4448D"/>
    <w:rsid w:val="00A63717"/>
    <w:rsid w:val="00AB023D"/>
    <w:rsid w:val="00AB4BB9"/>
    <w:rsid w:val="00AC381E"/>
    <w:rsid w:val="00AD5651"/>
    <w:rsid w:val="00AD5FF3"/>
    <w:rsid w:val="00AE1193"/>
    <w:rsid w:val="00B10A66"/>
    <w:rsid w:val="00B4109D"/>
    <w:rsid w:val="00B46F4B"/>
    <w:rsid w:val="00BC7B0C"/>
    <w:rsid w:val="00BE3B45"/>
    <w:rsid w:val="00C526F2"/>
    <w:rsid w:val="00C91180"/>
    <w:rsid w:val="00CE0823"/>
    <w:rsid w:val="00CE60A9"/>
    <w:rsid w:val="00D01FF9"/>
    <w:rsid w:val="00D02E7A"/>
    <w:rsid w:val="00D12DE7"/>
    <w:rsid w:val="00D26449"/>
    <w:rsid w:val="00D33AF9"/>
    <w:rsid w:val="00D72985"/>
    <w:rsid w:val="00D73077"/>
    <w:rsid w:val="00D7508B"/>
    <w:rsid w:val="00DB4794"/>
    <w:rsid w:val="00DF6F7E"/>
    <w:rsid w:val="00E67B8D"/>
    <w:rsid w:val="00E706DA"/>
    <w:rsid w:val="00E83E93"/>
    <w:rsid w:val="00EA4F61"/>
    <w:rsid w:val="00EB0906"/>
    <w:rsid w:val="00EB3B6B"/>
    <w:rsid w:val="00ED4A1D"/>
    <w:rsid w:val="00F21D90"/>
    <w:rsid w:val="00F53A7A"/>
    <w:rsid w:val="00F60148"/>
    <w:rsid w:val="00F65F7E"/>
    <w:rsid w:val="00F857BC"/>
    <w:rsid w:val="00FC34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47E7EC0-E835-452A-A6EE-F3AE7263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91C"/>
  </w:style>
  <w:style w:type="paragraph" w:styleId="Ttulo1">
    <w:name w:val="heading 1"/>
    <w:basedOn w:val="Normal"/>
    <w:next w:val="Normal"/>
    <w:link w:val="Ttulo1Car"/>
    <w:uiPriority w:val="9"/>
    <w:qFormat/>
    <w:rsid w:val="00232B6D"/>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semiHidden/>
    <w:unhideWhenUsed/>
    <w:qFormat/>
    <w:rsid w:val="00232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706DA"/>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706DA"/>
    <w:rPr>
      <w:rFonts w:ascii="Times New Roman" w:eastAsia="Arial Unicode MS" w:hAnsi="Times New Roman" w:cs="Times New Roman"/>
      <w:sz w:val="20"/>
      <w:szCs w:val="20"/>
      <w:bdr w:val="nil"/>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706DA"/>
    <w:rPr>
      <w:vertAlign w:val="superscript"/>
    </w:rPr>
  </w:style>
  <w:style w:type="paragraph" w:styleId="Piedepgina">
    <w:name w:val="footer"/>
    <w:basedOn w:val="Normal"/>
    <w:link w:val="Piedepgina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PiedepginaCar">
    <w:name w:val="Pie de página Car"/>
    <w:basedOn w:val="Fuentedeprrafopredeter"/>
    <w:link w:val="Piedepgina"/>
    <w:uiPriority w:val="99"/>
    <w:rsid w:val="00E706DA"/>
    <w:rPr>
      <w:rFonts w:ascii="Times New Roman" w:eastAsia="Arial Unicode MS" w:hAnsi="Times New Roman" w:cs="Times New Roman"/>
      <w:sz w:val="24"/>
      <w:szCs w:val="24"/>
      <w:bdr w:val="nil"/>
    </w:rPr>
  </w:style>
  <w:style w:type="paragraph" w:styleId="Encabezado">
    <w:name w:val="header"/>
    <w:basedOn w:val="Normal"/>
    <w:link w:val="EncabezadoCar"/>
    <w:uiPriority w:val="99"/>
    <w:unhideWhenUsed/>
    <w:rsid w:val="00E706DA"/>
    <w:pPr>
      <w:pBdr>
        <w:top w:val="nil"/>
        <w:left w:val="nil"/>
        <w:bottom w:val="nil"/>
        <w:right w:val="nil"/>
        <w:between w:val="nil"/>
        <w:bar w:val="nil"/>
      </w:pBdr>
      <w:tabs>
        <w:tab w:val="center" w:pos="4419"/>
        <w:tab w:val="right" w:pos="8838"/>
      </w:tabs>
      <w:spacing w:after="0" w:line="240" w:lineRule="auto"/>
    </w:pPr>
    <w:rPr>
      <w:rFonts w:ascii="Times New Roman" w:eastAsia="Arial Unicode MS" w:hAnsi="Times New Roman" w:cs="Times New Roman"/>
      <w:sz w:val="24"/>
      <w:szCs w:val="24"/>
      <w:bdr w:val="nil"/>
    </w:rPr>
  </w:style>
  <w:style w:type="character" w:customStyle="1" w:styleId="EncabezadoCar">
    <w:name w:val="Encabezado Car"/>
    <w:basedOn w:val="Fuentedeprrafopredeter"/>
    <w:link w:val="Encabezado"/>
    <w:uiPriority w:val="99"/>
    <w:rsid w:val="00E706DA"/>
    <w:rPr>
      <w:rFonts w:ascii="Times New Roman" w:eastAsia="Arial Unicode MS" w:hAnsi="Times New Roman" w:cs="Times New Roman"/>
      <w:sz w:val="24"/>
      <w:szCs w:val="24"/>
      <w:bdr w:val="nil"/>
    </w:rPr>
  </w:style>
  <w:style w:type="table" w:styleId="Tabladecuadrcula1clara">
    <w:name w:val="Grid Table 1 Light"/>
    <w:basedOn w:val="Tablanormal"/>
    <w:uiPriority w:val="46"/>
    <w:rsid w:val="00E706DA"/>
    <w:pPr>
      <w:spacing w:after="0" w:line="240" w:lineRule="auto"/>
    </w:pPr>
    <w:rPr>
      <w:rFonts w:eastAsiaTheme="minorEastAsia"/>
      <w:sz w:val="24"/>
      <w:szCs w:val="24"/>
      <w:lang w:val="es-ES_tradnl" w:eastAsia="es-E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706DA"/>
    <w:pPr>
      <w:ind w:left="720"/>
      <w:contextualSpacing/>
    </w:pPr>
  </w:style>
  <w:style w:type="paragraph" w:styleId="Textodeglobo">
    <w:name w:val="Balloon Text"/>
    <w:basedOn w:val="Normal"/>
    <w:link w:val="TextodegloboCar"/>
    <w:uiPriority w:val="99"/>
    <w:semiHidden/>
    <w:unhideWhenUsed/>
    <w:rsid w:val="005A32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A3267"/>
    <w:rPr>
      <w:rFonts w:ascii="Segoe UI" w:hAnsi="Segoe UI" w:cs="Segoe UI"/>
      <w:sz w:val="18"/>
      <w:szCs w:val="18"/>
    </w:rPr>
  </w:style>
  <w:style w:type="character" w:customStyle="1" w:styleId="Ttulo1Car">
    <w:name w:val="Título 1 Car"/>
    <w:basedOn w:val="Fuentedeprrafopredeter"/>
    <w:link w:val="Ttulo1"/>
    <w:uiPriority w:val="9"/>
    <w:rsid w:val="00232B6D"/>
    <w:rPr>
      <w:rFonts w:ascii="Palatino Linotype" w:eastAsiaTheme="majorEastAsia" w:hAnsi="Palatino Linotype" w:cstheme="majorBidi"/>
      <w:b/>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3E93"/>
  </w:style>
  <w:style w:type="paragraph" w:styleId="TtulodeTDC">
    <w:name w:val="TOC Heading"/>
    <w:basedOn w:val="Ttulo1"/>
    <w:next w:val="Normal"/>
    <w:uiPriority w:val="39"/>
    <w:unhideWhenUsed/>
    <w:qFormat/>
    <w:rsid w:val="00E83E93"/>
    <w:pPr>
      <w:outlineLvl w:val="9"/>
    </w:pPr>
    <w:rPr>
      <w:lang w:eastAsia="es-MX"/>
    </w:rPr>
  </w:style>
  <w:style w:type="paragraph" w:styleId="TDC1">
    <w:name w:val="toc 1"/>
    <w:basedOn w:val="Normal"/>
    <w:next w:val="Normal"/>
    <w:autoRedefine/>
    <w:uiPriority w:val="39"/>
    <w:unhideWhenUsed/>
    <w:rsid w:val="00EB3B6B"/>
    <w:pPr>
      <w:tabs>
        <w:tab w:val="left" w:pos="660"/>
        <w:tab w:val="right" w:leader="dot" w:pos="8828"/>
      </w:tabs>
      <w:spacing w:after="100" w:line="240" w:lineRule="auto"/>
    </w:pPr>
  </w:style>
  <w:style w:type="character" w:styleId="Hipervnculo">
    <w:name w:val="Hyperlink"/>
    <w:basedOn w:val="Fuentedeprrafopredeter"/>
    <w:uiPriority w:val="99"/>
    <w:unhideWhenUsed/>
    <w:rsid w:val="00E83E93"/>
    <w:rPr>
      <w:color w:val="0563C1" w:themeColor="hyperlink"/>
      <w:u w:val="single"/>
    </w:rPr>
  </w:style>
  <w:style w:type="paragraph" w:styleId="Sinespaciado">
    <w:name w:val="No Spacing"/>
    <w:uiPriority w:val="1"/>
    <w:qFormat/>
    <w:rsid w:val="00850252"/>
    <w:pPr>
      <w:spacing w:after="0" w:line="240" w:lineRule="auto"/>
    </w:pPr>
  </w:style>
  <w:style w:type="character" w:customStyle="1" w:styleId="apple-converted-space">
    <w:name w:val="apple-converted-space"/>
    <w:basedOn w:val="Fuentedeprrafopredeter"/>
    <w:rsid w:val="0046491C"/>
  </w:style>
  <w:style w:type="character" w:customStyle="1" w:styleId="Ttulo2Car">
    <w:name w:val="Título 2 Car"/>
    <w:basedOn w:val="Fuentedeprrafopredeter"/>
    <w:link w:val="Ttulo2"/>
    <w:uiPriority w:val="9"/>
    <w:semiHidden/>
    <w:rsid w:val="00232B6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wikipedia.org/wiki/Derechos_civiles_y_pol%C3%ADtico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28</Pages>
  <Words>5997</Words>
  <Characters>32989</Characters>
  <Application>Microsoft Office Word</Application>
  <DocSecurity>0</DocSecurity>
  <Lines>274</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2018-09-06T18:02:00Z</cp:lastPrinted>
  <dcterms:created xsi:type="dcterms:W3CDTF">2018-08-27T19:08:00Z</dcterms:created>
  <dcterms:modified xsi:type="dcterms:W3CDTF">2018-11-07T20:47:00Z</dcterms:modified>
</cp:coreProperties>
</file>